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D" w:rsidRPr="008B2EE9" w:rsidRDefault="00BC399C" w:rsidP="00E73AE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ΛΥΣΗ</w:t>
      </w:r>
    </w:p>
    <w:p w:rsidR="008B2EE9" w:rsidRPr="00DF4122" w:rsidRDefault="000B5680" w:rsidP="00297E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297E0F">
        <w:rPr>
          <w:sz w:val="24"/>
          <w:szCs w:val="24"/>
        </w:rPr>
        <w:t xml:space="preserve">Το σύνολο των τετμημένων των σημείων της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="008B2EE9" w:rsidRPr="008B2EE9">
        <w:rPr>
          <w:sz w:val="24"/>
          <w:szCs w:val="24"/>
        </w:rPr>
        <w:t xml:space="preserve"> </w:t>
      </w:r>
      <w:r w:rsidR="008B2EE9">
        <w:rPr>
          <w:sz w:val="24"/>
          <w:szCs w:val="24"/>
        </w:rPr>
        <w:t xml:space="preserve">και της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</m:oMath>
      <w:r w:rsidR="008B2EE9">
        <w:rPr>
          <w:sz w:val="24"/>
          <w:szCs w:val="24"/>
        </w:rPr>
        <w:t xml:space="preserve"> </w:t>
      </w:r>
      <w:r w:rsidR="00297E0F">
        <w:rPr>
          <w:sz w:val="24"/>
          <w:szCs w:val="24"/>
        </w:rPr>
        <w:t xml:space="preserve">αποτελεί το πεδίο ορισμού της </w:t>
      </w:r>
      <w:r w:rsidR="008B2EE9">
        <w:rPr>
          <w:sz w:val="24"/>
          <w:szCs w:val="24"/>
        </w:rPr>
        <w:t xml:space="preserve">κάθε </w:t>
      </w:r>
      <w:r w:rsidR="00297E0F">
        <w:rPr>
          <w:sz w:val="24"/>
          <w:szCs w:val="24"/>
        </w:rPr>
        <w:t xml:space="preserve">συνάρτησης. Από </w:t>
      </w:r>
      <w:r w:rsidR="008B2EE9">
        <w:rPr>
          <w:sz w:val="24"/>
          <w:szCs w:val="24"/>
        </w:rPr>
        <w:t>τις γραφικές</w:t>
      </w:r>
      <w:r w:rsidR="00297E0F">
        <w:rPr>
          <w:sz w:val="24"/>
          <w:szCs w:val="24"/>
        </w:rPr>
        <w:t xml:space="preserve"> </w:t>
      </w:r>
      <w:r w:rsidR="008B2EE9">
        <w:rPr>
          <w:sz w:val="24"/>
          <w:szCs w:val="24"/>
        </w:rPr>
        <w:t>παραστάσεις</w:t>
      </w:r>
      <w:r w:rsidR="00297E0F">
        <w:rPr>
          <w:sz w:val="24"/>
          <w:szCs w:val="24"/>
        </w:rPr>
        <w:t xml:space="preserve"> του σχήματος παρατηρούμε ότι το πεδίο ορισμού της συνάρτησης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297E0F" w:rsidRPr="00A6148B">
        <w:rPr>
          <w:sz w:val="24"/>
          <w:szCs w:val="24"/>
        </w:rPr>
        <w:t xml:space="preserve"> </w:t>
      </w:r>
      <w:r w:rsidR="00297E0F">
        <w:rPr>
          <w:sz w:val="24"/>
          <w:szCs w:val="24"/>
        </w:rPr>
        <w:t xml:space="preserve"> είναι το διάστημα </w:t>
      </w:r>
      <m:oMath>
        <m:r>
          <w:rPr>
            <w:rFonts w:ascii="Cambria Math" w:hAnsi="Cambria Math"/>
            <w:sz w:val="24"/>
            <w:szCs w:val="24"/>
          </w:rPr>
          <m:t>[2,7]</m:t>
        </m:r>
      </m:oMath>
      <w:r w:rsidR="008B2EE9">
        <w:rPr>
          <w:sz w:val="24"/>
          <w:szCs w:val="24"/>
        </w:rPr>
        <w:t xml:space="preserve"> και το πεδίο ορισμού της συνάρτησης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8B2EE9" w:rsidRPr="00A6148B">
        <w:rPr>
          <w:sz w:val="24"/>
          <w:szCs w:val="24"/>
        </w:rPr>
        <w:t xml:space="preserve"> </w:t>
      </w:r>
      <w:r w:rsidR="008B2EE9">
        <w:rPr>
          <w:sz w:val="24"/>
          <w:szCs w:val="24"/>
        </w:rPr>
        <w:t xml:space="preserve"> είναι το διάστημα </w:t>
      </w:r>
      <m:oMath>
        <m:r>
          <w:rPr>
            <w:rFonts w:ascii="Cambria Math" w:hAnsi="Cambria Math"/>
            <w:sz w:val="24"/>
            <w:szCs w:val="24"/>
          </w:rPr>
          <m:t>[5,7]</m:t>
        </m:r>
      </m:oMath>
      <w:r w:rsidR="008B2EE9" w:rsidRPr="008B2EE9">
        <w:rPr>
          <w:sz w:val="24"/>
          <w:szCs w:val="24"/>
        </w:rPr>
        <w:t>.</w:t>
      </w:r>
      <w:r w:rsidR="008B2EE9">
        <w:rPr>
          <w:sz w:val="24"/>
          <w:szCs w:val="24"/>
        </w:rPr>
        <w:t xml:space="preserve">  </w:t>
      </w:r>
    </w:p>
    <w:p w:rsidR="004A4142" w:rsidRDefault="00DF4122" w:rsidP="00DF4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  <w:r w:rsidR="00823AC9">
        <w:rPr>
          <w:sz w:val="24"/>
          <w:szCs w:val="24"/>
        </w:rPr>
        <w:t xml:space="preserve"> </w:t>
      </w:r>
    </w:p>
    <w:p w:rsidR="00823AC9" w:rsidRPr="004A4142" w:rsidRDefault="008C42D7" w:rsidP="004A4142">
      <w:pPr>
        <w:pStyle w:val="a8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4A4142">
        <w:rPr>
          <w:sz w:val="24"/>
          <w:szCs w:val="24"/>
        </w:rPr>
        <w:t xml:space="preserve">Οι συναρτήσεις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A4142">
        <w:rPr>
          <w:sz w:val="24"/>
          <w:szCs w:val="24"/>
        </w:rPr>
        <w:t xml:space="preserve">και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4A4142">
        <w:rPr>
          <w:sz w:val="24"/>
          <w:szCs w:val="24"/>
        </w:rPr>
        <w:t xml:space="preserve"> είναι συνεχείς στο πεδίο ορισμού τους από την υπόθεση. </w:t>
      </w:r>
      <w:r w:rsidR="0026484D">
        <w:rPr>
          <w:sz w:val="24"/>
          <w:szCs w:val="24"/>
        </w:rPr>
        <w:t>Συγκεκριμένα</w:t>
      </w:r>
      <w:r w:rsidRPr="004A4142">
        <w:rPr>
          <w:sz w:val="24"/>
          <w:szCs w:val="24"/>
        </w:rPr>
        <w:t>:</w:t>
      </w:r>
    </w:p>
    <w:p w:rsidR="00505F8E" w:rsidRPr="00FA3EA0" w:rsidRDefault="008C42D7" w:rsidP="004A4142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FA3EA0">
        <w:rPr>
          <w:sz w:val="24"/>
          <w:szCs w:val="24"/>
        </w:rPr>
        <w:t xml:space="preserve">Η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Pr="00FA3EA0">
        <w:rPr>
          <w:sz w:val="24"/>
          <w:szCs w:val="24"/>
        </w:rPr>
        <w:t xml:space="preserve"> είναι συνεχής στο </w:t>
      </w:r>
      <m:oMath>
        <m:r>
          <w:rPr>
            <w:rFonts w:ascii="Cambria Math" w:hAnsi="Cambria Math"/>
            <w:sz w:val="24"/>
            <w:szCs w:val="24"/>
          </w:rPr>
          <m:t>[2,7]</m:t>
        </m:r>
      </m:oMath>
      <w:r w:rsidRPr="00FA3EA0">
        <w:rPr>
          <w:sz w:val="24"/>
          <w:szCs w:val="24"/>
        </w:rPr>
        <w:t xml:space="preserve"> αλλά οι τιμές της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Pr="00FA3EA0">
        <w:rPr>
          <w:sz w:val="24"/>
          <w:szCs w:val="24"/>
        </w:rPr>
        <w:t xml:space="preserve"> στα άκρα του πεδίου ορισμού της δεν είναι ετερόσημες, </w:t>
      </w:r>
      <w:r w:rsidR="00FA3EA0">
        <w:rPr>
          <w:sz w:val="24"/>
          <w:szCs w:val="24"/>
        </w:rPr>
        <w:t>αφού</w:t>
      </w:r>
      <w:r w:rsidRPr="00FA3EA0">
        <w:rPr>
          <w:sz w:val="24"/>
          <w:szCs w:val="24"/>
        </w:rPr>
        <w:t xml:space="preserve"> τα σημεία </w:t>
      </w:r>
      <m:oMath>
        <m:r>
          <w:rPr>
            <w:rFonts w:ascii="Cambria Math" w:hAnsi="Cambria Math"/>
            <w:sz w:val="24"/>
            <w:szCs w:val="24"/>
          </w:rPr>
          <m:t>(2,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FA3EA0">
        <w:rPr>
          <w:sz w:val="24"/>
          <w:szCs w:val="24"/>
        </w:rPr>
        <w:t xml:space="preserve"> και </w:t>
      </w:r>
      <m:oMath>
        <m:r>
          <w:rPr>
            <w:rFonts w:ascii="Cambria Math" w:hAnsi="Cambria Math"/>
            <w:sz w:val="24"/>
            <w:szCs w:val="24"/>
          </w:rPr>
          <m:t>(7,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FA3EA0">
        <w:rPr>
          <w:sz w:val="24"/>
          <w:szCs w:val="24"/>
        </w:rPr>
        <w:t xml:space="preserve"> βρίσκονται πάνω από τον άξονα </w:t>
      </w:r>
      <w:r w:rsidRPr="00FA3EA0">
        <w:rPr>
          <w:sz w:val="24"/>
          <w:szCs w:val="24"/>
          <w:lang w:val="en-US"/>
        </w:rPr>
        <w:t>x</w:t>
      </w:r>
      <w:r w:rsidRPr="00FA3EA0">
        <w:rPr>
          <w:sz w:val="24"/>
          <w:szCs w:val="24"/>
        </w:rPr>
        <w:t>’</w:t>
      </w:r>
      <w:r w:rsidRPr="00FA3EA0">
        <w:rPr>
          <w:sz w:val="24"/>
          <w:szCs w:val="24"/>
          <w:lang w:val="en-US"/>
        </w:rPr>
        <w:t>x</w:t>
      </w:r>
      <w:r w:rsidRPr="00FA3EA0">
        <w:rPr>
          <w:sz w:val="24"/>
          <w:szCs w:val="24"/>
        </w:rPr>
        <w:t>.</w:t>
      </w:r>
    </w:p>
    <w:p w:rsidR="00DF4122" w:rsidRDefault="008C42D7" w:rsidP="004A4142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FA3EA0">
        <w:rPr>
          <w:sz w:val="24"/>
          <w:szCs w:val="24"/>
        </w:rPr>
        <w:t xml:space="preserve">Η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FA3EA0">
        <w:rPr>
          <w:sz w:val="24"/>
          <w:szCs w:val="24"/>
        </w:rPr>
        <w:t xml:space="preserve"> είναι συνεχής στο </w:t>
      </w:r>
      <m:oMath>
        <m:r>
          <w:rPr>
            <w:rFonts w:ascii="Cambria Math" w:hAnsi="Cambria Math"/>
            <w:sz w:val="24"/>
            <w:szCs w:val="24"/>
          </w:rPr>
          <m:t>[5,7]</m:t>
        </m:r>
      </m:oMath>
      <w:r w:rsidRPr="00FA3EA0">
        <w:rPr>
          <w:sz w:val="24"/>
          <w:szCs w:val="24"/>
        </w:rPr>
        <w:t xml:space="preserve"> </w:t>
      </w:r>
      <w:r w:rsidR="00FA3EA0" w:rsidRPr="00FA3EA0">
        <w:rPr>
          <w:sz w:val="24"/>
          <w:szCs w:val="24"/>
        </w:rPr>
        <w:t>και</w:t>
      </w:r>
      <w:r w:rsidRPr="00FA3EA0">
        <w:rPr>
          <w:sz w:val="24"/>
          <w:szCs w:val="24"/>
        </w:rPr>
        <w:t xml:space="preserve"> οι τιμές της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FA3EA0">
        <w:rPr>
          <w:sz w:val="24"/>
          <w:szCs w:val="24"/>
        </w:rPr>
        <w:t xml:space="preserve"> στα άκρα του πεδίου ορισμού της είναι ετερόσημες, </w:t>
      </w:r>
      <w:r w:rsidR="00FA3EA0">
        <w:rPr>
          <w:sz w:val="24"/>
          <w:szCs w:val="24"/>
        </w:rPr>
        <w:t>αφού</w:t>
      </w:r>
      <w:r w:rsidRPr="00FA3EA0">
        <w:rPr>
          <w:sz w:val="24"/>
          <w:szCs w:val="24"/>
        </w:rPr>
        <w:t xml:space="preserve"> τα σημεία </w:t>
      </w:r>
      <m:oMath>
        <m:r>
          <w:rPr>
            <w:rFonts w:ascii="Cambria Math" w:hAnsi="Cambria Math"/>
            <w:sz w:val="24"/>
            <w:szCs w:val="24"/>
          </w:rPr>
          <m:t>(5,</m:t>
        </m:r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FA3EA0">
        <w:rPr>
          <w:sz w:val="24"/>
          <w:szCs w:val="24"/>
        </w:rPr>
        <w:t xml:space="preserve"> και </w:t>
      </w:r>
      <m:oMath>
        <m:r>
          <w:rPr>
            <w:rFonts w:ascii="Cambria Math" w:hAnsi="Cambria Math"/>
            <w:sz w:val="24"/>
            <w:szCs w:val="24"/>
          </w:rPr>
          <m:t>(7,</m:t>
        </m:r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FA3EA0">
        <w:rPr>
          <w:sz w:val="24"/>
          <w:szCs w:val="24"/>
        </w:rPr>
        <w:t xml:space="preserve"> βρίσκονται </w:t>
      </w:r>
      <w:r w:rsidR="00FA3EA0" w:rsidRPr="00FA3EA0">
        <w:rPr>
          <w:sz w:val="24"/>
          <w:szCs w:val="24"/>
        </w:rPr>
        <w:t>εκατέρωθεν</w:t>
      </w:r>
      <w:r w:rsidRPr="00FA3EA0">
        <w:rPr>
          <w:sz w:val="24"/>
          <w:szCs w:val="24"/>
        </w:rPr>
        <w:t xml:space="preserve"> </w:t>
      </w:r>
      <w:r w:rsidR="00FA3EA0" w:rsidRPr="00FA3EA0">
        <w:rPr>
          <w:sz w:val="24"/>
          <w:szCs w:val="24"/>
        </w:rPr>
        <w:t xml:space="preserve">του </w:t>
      </w:r>
      <w:r w:rsidRPr="00FA3EA0">
        <w:rPr>
          <w:sz w:val="24"/>
          <w:szCs w:val="24"/>
        </w:rPr>
        <w:t xml:space="preserve">άξονα </w:t>
      </w:r>
      <w:r w:rsidRPr="00FA3EA0">
        <w:rPr>
          <w:sz w:val="24"/>
          <w:szCs w:val="24"/>
          <w:lang w:val="en-US"/>
        </w:rPr>
        <w:t>x</w:t>
      </w:r>
      <w:r w:rsidRPr="00FA3EA0">
        <w:rPr>
          <w:sz w:val="24"/>
          <w:szCs w:val="24"/>
        </w:rPr>
        <w:t>’</w:t>
      </w:r>
      <w:r w:rsidRPr="00FA3EA0">
        <w:rPr>
          <w:sz w:val="24"/>
          <w:szCs w:val="24"/>
          <w:lang w:val="en-US"/>
        </w:rPr>
        <w:t>x</w:t>
      </w:r>
      <w:r w:rsidR="00FA3EA0" w:rsidRPr="00FA3EA0">
        <w:rPr>
          <w:sz w:val="24"/>
          <w:szCs w:val="24"/>
        </w:rPr>
        <w:t>.</w:t>
      </w:r>
      <w:r w:rsidR="00DF4122" w:rsidRPr="00DF4122">
        <w:rPr>
          <w:sz w:val="24"/>
          <w:szCs w:val="24"/>
        </w:rPr>
        <w:t xml:space="preserve"> </w:t>
      </w:r>
    </w:p>
    <w:p w:rsidR="00DF4122" w:rsidRDefault="00DF4122" w:rsidP="004A4142">
      <w:pPr>
        <w:spacing w:line="360" w:lineRule="auto"/>
        <w:ind w:left="709"/>
        <w:jc w:val="both"/>
        <w:rPr>
          <w:sz w:val="24"/>
          <w:szCs w:val="24"/>
        </w:rPr>
      </w:pPr>
      <w:r w:rsidRPr="00DF4122">
        <w:rPr>
          <w:sz w:val="24"/>
          <w:szCs w:val="24"/>
        </w:rPr>
        <w:t xml:space="preserve">Άρα οι προϋποθέσεις του θεωρήματος </w:t>
      </w:r>
      <w:r w:rsidRPr="00DF4122">
        <w:rPr>
          <w:sz w:val="24"/>
          <w:szCs w:val="24"/>
          <w:lang w:val="en-US"/>
        </w:rPr>
        <w:t>Bolzano</w:t>
      </w:r>
      <w:r w:rsidRPr="00DF4122">
        <w:rPr>
          <w:sz w:val="24"/>
          <w:szCs w:val="24"/>
        </w:rPr>
        <w:t xml:space="preserve"> ισχύουν μόνο για τη συνάρτηση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DF4122">
        <w:rPr>
          <w:sz w:val="24"/>
          <w:szCs w:val="24"/>
        </w:rPr>
        <w:t xml:space="preserve"> στο </w:t>
      </w:r>
      <m:oMath>
        <m:r>
          <w:rPr>
            <w:rFonts w:ascii="Cambria Math" w:hAnsi="Cambria Math"/>
            <w:sz w:val="24"/>
            <w:szCs w:val="24"/>
          </w:rPr>
          <m:t>[5,7]</m:t>
        </m:r>
      </m:oMath>
      <w:r w:rsidRPr="00DF4122">
        <w:rPr>
          <w:sz w:val="24"/>
          <w:szCs w:val="24"/>
        </w:rPr>
        <w:t>.</w:t>
      </w:r>
    </w:p>
    <w:p w:rsidR="004A4142" w:rsidRDefault="004A4142" w:rsidP="004A4142">
      <w:pPr>
        <w:pStyle w:val="a8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Παρατηρούμε ότι και οι </w:t>
      </w:r>
      <w:r w:rsidR="00FC70E3" w:rsidRPr="00FC70E3">
        <w:rPr>
          <w:sz w:val="24"/>
          <w:szCs w:val="24"/>
        </w:rPr>
        <w:t>2</w:t>
      </w:r>
      <w:r>
        <w:rPr>
          <w:sz w:val="24"/>
          <w:szCs w:val="24"/>
        </w:rPr>
        <w:t xml:space="preserve"> γραφικές παραστάσεις των </w:t>
      </w:r>
      <w:r>
        <w:rPr>
          <w:sz w:val="24"/>
          <w:szCs w:val="24"/>
          <w:lang w:val="en-US"/>
        </w:rPr>
        <w:t>f</w:t>
      </w:r>
      <w:r w:rsidRPr="00C31AD6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C31AD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</w:t>
      </w:r>
      <w:r w:rsidR="0026484D">
        <w:rPr>
          <w:sz w:val="24"/>
          <w:szCs w:val="24"/>
        </w:rPr>
        <w:t xml:space="preserve">έχουν κοινό σημείο με τον </w:t>
      </w:r>
      <w:r>
        <w:rPr>
          <w:sz w:val="24"/>
          <w:szCs w:val="24"/>
        </w:rPr>
        <w:t xml:space="preserve">άξονα </w:t>
      </w:r>
      <w:r>
        <w:rPr>
          <w:sz w:val="24"/>
          <w:szCs w:val="24"/>
          <w:lang w:val="en-US"/>
        </w:rPr>
        <w:t>x</w:t>
      </w:r>
      <w:r w:rsidRPr="003B32AE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x</w:t>
      </w:r>
      <w:r w:rsidRPr="003B32AE">
        <w:rPr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 w:rsidRPr="00524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σημείο </w:t>
      </w:r>
      <m:oMath>
        <m:r>
          <w:rPr>
            <w:rFonts w:ascii="Cambria Math" w:hAnsi="Cambria Math"/>
            <w:sz w:val="24"/>
            <w:szCs w:val="24"/>
          </w:rPr>
          <m:t>Α(6,0)</m:t>
        </m:r>
      </m:oMath>
      <w:r>
        <w:rPr>
          <w:sz w:val="24"/>
          <w:szCs w:val="24"/>
        </w:rPr>
        <w:t xml:space="preserve">, οπότε ισχύουν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. </w:t>
      </w:r>
    </w:p>
    <w:p w:rsidR="004A4142" w:rsidRPr="00317AC3" w:rsidRDefault="00317AC3" w:rsidP="004A4142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 xml:space="preserve"> ήταν αναμενόμενο να υπάρχει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w:rPr>
            <w:rFonts w:ascii="Cambria Math" w:hAnsi="Cambria Math"/>
            <w:sz w:val="24"/>
            <w:szCs w:val="24"/>
          </w:rPr>
          <m:t>∈(5,7)</m:t>
        </m:r>
      </m:oMath>
      <w:r>
        <w:rPr>
          <w:sz w:val="24"/>
          <w:szCs w:val="24"/>
        </w:rPr>
        <w:t xml:space="preserve"> τέτοιο ώστε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w:rPr>
            <w:rFonts w:ascii="Cambria Math" w:hAnsi="Cambria Math"/>
            <w:sz w:val="24"/>
            <w:szCs w:val="24"/>
          </w:rPr>
          <m:t>)=0</m:t>
        </m:r>
      </m:oMath>
      <w:r w:rsidRPr="00317AC3">
        <w:rPr>
          <w:sz w:val="24"/>
          <w:szCs w:val="24"/>
        </w:rPr>
        <w:t xml:space="preserve">, </w:t>
      </w:r>
      <w:r w:rsidR="00F06E83">
        <w:rPr>
          <w:sz w:val="24"/>
          <w:szCs w:val="24"/>
        </w:rPr>
        <w:t>αφού ισχύουν οι προϋπο</w:t>
      </w:r>
      <w:r>
        <w:rPr>
          <w:sz w:val="24"/>
          <w:szCs w:val="24"/>
        </w:rPr>
        <w:t xml:space="preserve">θέσεις του θεωρήματος </w:t>
      </w:r>
      <w:r w:rsidRPr="00132919">
        <w:rPr>
          <w:sz w:val="24"/>
          <w:szCs w:val="24"/>
          <w:lang w:val="en-US"/>
        </w:rPr>
        <w:t>Bolzano</w:t>
      </w:r>
      <w:r>
        <w:rPr>
          <w:sz w:val="24"/>
          <w:szCs w:val="24"/>
        </w:rPr>
        <w:t xml:space="preserve"> στο αντίστοιχο διάστημα. </w:t>
      </w:r>
      <w:r w:rsidR="00F06E83">
        <w:rPr>
          <w:sz w:val="24"/>
          <w:szCs w:val="24"/>
        </w:rPr>
        <w:t xml:space="preserve">Αλλά και </w:t>
      </w:r>
      <w:r w:rsidR="00FC70E3">
        <w:rPr>
          <w:sz w:val="24"/>
          <w:szCs w:val="24"/>
        </w:rPr>
        <w:t>η</w:t>
      </w:r>
      <w:r w:rsidR="00F06E83">
        <w:rPr>
          <w:sz w:val="24"/>
          <w:szCs w:val="24"/>
        </w:rPr>
        <w:t xml:space="preserve"> </w:t>
      </w:r>
      <w:r w:rsidR="00FC70E3">
        <w:rPr>
          <w:sz w:val="24"/>
          <w:szCs w:val="24"/>
        </w:rPr>
        <w:t>συνάρτηση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</w:t>
      </w:r>
      <w:r w:rsidR="00FC70E3">
        <w:rPr>
          <w:sz w:val="24"/>
          <w:szCs w:val="24"/>
        </w:rPr>
        <w:t>έχει</w:t>
      </w:r>
      <w:r>
        <w:rPr>
          <w:sz w:val="24"/>
          <w:szCs w:val="24"/>
        </w:rPr>
        <w:t xml:space="preserve"> μια τουλάχιστον ρίζα στο πεδίο </w:t>
      </w:r>
      <w:r w:rsidR="0072375D">
        <w:rPr>
          <w:sz w:val="24"/>
          <w:szCs w:val="24"/>
        </w:rPr>
        <w:t>ορισμού</w:t>
      </w:r>
      <w:r>
        <w:rPr>
          <w:sz w:val="24"/>
          <w:szCs w:val="24"/>
        </w:rPr>
        <w:t xml:space="preserve"> τ</w:t>
      </w:r>
      <w:r w:rsidR="00FC70E3">
        <w:rPr>
          <w:sz w:val="24"/>
          <w:szCs w:val="24"/>
        </w:rPr>
        <w:t>η</w:t>
      </w:r>
      <w:r>
        <w:rPr>
          <w:sz w:val="24"/>
          <w:szCs w:val="24"/>
        </w:rPr>
        <w:t xml:space="preserve">ς αν και είδαμε ότι δεν </w:t>
      </w:r>
      <w:r w:rsidR="0072375D">
        <w:rPr>
          <w:sz w:val="24"/>
          <w:szCs w:val="24"/>
        </w:rPr>
        <w:t>πληρούνται</w:t>
      </w:r>
      <w:r>
        <w:rPr>
          <w:sz w:val="24"/>
          <w:szCs w:val="24"/>
        </w:rPr>
        <w:t xml:space="preserve"> οι προϋποθέσεις του </w:t>
      </w:r>
      <w:r w:rsidR="0072375D">
        <w:rPr>
          <w:sz w:val="24"/>
          <w:szCs w:val="24"/>
        </w:rPr>
        <w:t>θεωρήματος</w:t>
      </w:r>
      <w:r>
        <w:rPr>
          <w:sz w:val="24"/>
          <w:szCs w:val="24"/>
        </w:rPr>
        <w:t xml:space="preserve"> </w:t>
      </w:r>
      <w:r w:rsidRPr="00132919">
        <w:rPr>
          <w:sz w:val="24"/>
          <w:szCs w:val="24"/>
          <w:lang w:val="en-US"/>
        </w:rPr>
        <w:t>Bolzano</w:t>
      </w:r>
      <w:r>
        <w:rPr>
          <w:sz w:val="24"/>
          <w:szCs w:val="24"/>
        </w:rPr>
        <w:t xml:space="preserve">. </w:t>
      </w:r>
    </w:p>
    <w:sectPr w:rsidR="004A4142" w:rsidRPr="00317AC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A0" w:rsidRDefault="00FA3EA0" w:rsidP="005E6BE2">
      <w:r>
        <w:separator/>
      </w:r>
    </w:p>
  </w:endnote>
  <w:endnote w:type="continuationSeparator" w:id="0">
    <w:p w:rsidR="00FA3EA0" w:rsidRDefault="00FA3EA0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A0" w:rsidRDefault="00FA3EA0" w:rsidP="005E6BE2">
      <w:r>
        <w:separator/>
      </w:r>
    </w:p>
  </w:footnote>
  <w:footnote w:type="continuationSeparator" w:id="0">
    <w:p w:rsidR="00FA3EA0" w:rsidRDefault="00FA3EA0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CD0"/>
    <w:multiLevelType w:val="hybridMultilevel"/>
    <w:tmpl w:val="39223ECC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A94"/>
    <w:multiLevelType w:val="hybridMultilevel"/>
    <w:tmpl w:val="8336192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4854F0"/>
    <w:multiLevelType w:val="hybridMultilevel"/>
    <w:tmpl w:val="BA7830C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2998"/>
    <w:multiLevelType w:val="hybridMultilevel"/>
    <w:tmpl w:val="EE7E0490"/>
    <w:lvl w:ilvl="0" w:tplc="0408001B">
      <w:start w:val="1"/>
      <w:numFmt w:val="low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0B29DC"/>
    <w:multiLevelType w:val="hybridMultilevel"/>
    <w:tmpl w:val="12408EB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704D9"/>
    <w:multiLevelType w:val="hybridMultilevel"/>
    <w:tmpl w:val="6D84D6A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4F0E6D"/>
    <w:multiLevelType w:val="hybridMultilevel"/>
    <w:tmpl w:val="16F89CAC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C02"/>
    <w:multiLevelType w:val="hybridMultilevel"/>
    <w:tmpl w:val="C6BE1D64"/>
    <w:lvl w:ilvl="0" w:tplc="CDD63856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1B32"/>
    <w:multiLevelType w:val="hybridMultilevel"/>
    <w:tmpl w:val="AFBC46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8E6"/>
    <w:multiLevelType w:val="hybridMultilevel"/>
    <w:tmpl w:val="A71A1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2839"/>
    <w:multiLevelType w:val="hybridMultilevel"/>
    <w:tmpl w:val="04FA4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CF9"/>
    <w:multiLevelType w:val="hybridMultilevel"/>
    <w:tmpl w:val="53344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0B18"/>
    <w:multiLevelType w:val="hybridMultilevel"/>
    <w:tmpl w:val="A2CAA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27B6"/>
    <w:multiLevelType w:val="hybridMultilevel"/>
    <w:tmpl w:val="AFBC46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75C6"/>
    <w:multiLevelType w:val="hybridMultilevel"/>
    <w:tmpl w:val="04FA4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54B7"/>
    <w:multiLevelType w:val="hybridMultilevel"/>
    <w:tmpl w:val="34307BFA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7E62"/>
    <w:multiLevelType w:val="hybridMultilevel"/>
    <w:tmpl w:val="B0FEB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23C5F"/>
    <w:multiLevelType w:val="hybridMultilevel"/>
    <w:tmpl w:val="A5C4FEE4"/>
    <w:lvl w:ilvl="0" w:tplc="B1EC4A3A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0"/>
  </w:num>
  <w:num w:numId="6">
    <w:abstractNumId w:val="3"/>
  </w:num>
  <w:num w:numId="7">
    <w:abstractNumId w:val="5"/>
  </w:num>
  <w:num w:numId="8">
    <w:abstractNumId w:val="21"/>
  </w:num>
  <w:num w:numId="9">
    <w:abstractNumId w:val="9"/>
  </w:num>
  <w:num w:numId="10">
    <w:abstractNumId w:val="1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9"/>
  </w:num>
  <w:num w:numId="17">
    <w:abstractNumId w:val="8"/>
  </w:num>
  <w:num w:numId="18">
    <w:abstractNumId w:val="2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36112"/>
    <w:rsid w:val="000477E8"/>
    <w:rsid w:val="000720A3"/>
    <w:rsid w:val="00091CEA"/>
    <w:rsid w:val="00094A65"/>
    <w:rsid w:val="000B5680"/>
    <w:rsid w:val="000F26B8"/>
    <w:rsid w:val="000F353F"/>
    <w:rsid w:val="00105218"/>
    <w:rsid w:val="00190AC6"/>
    <w:rsid w:val="001D1849"/>
    <w:rsid w:val="001D4CC1"/>
    <w:rsid w:val="001E1B90"/>
    <w:rsid w:val="001E4842"/>
    <w:rsid w:val="001E7E63"/>
    <w:rsid w:val="00205719"/>
    <w:rsid w:val="00223149"/>
    <w:rsid w:val="00223546"/>
    <w:rsid w:val="00246E83"/>
    <w:rsid w:val="0026484D"/>
    <w:rsid w:val="002707BF"/>
    <w:rsid w:val="00271801"/>
    <w:rsid w:val="00294637"/>
    <w:rsid w:val="00297E0F"/>
    <w:rsid w:val="002A340C"/>
    <w:rsid w:val="002D59D4"/>
    <w:rsid w:val="002E1D2A"/>
    <w:rsid w:val="002E6AA5"/>
    <w:rsid w:val="00300760"/>
    <w:rsid w:val="00317AC3"/>
    <w:rsid w:val="00342201"/>
    <w:rsid w:val="00372A30"/>
    <w:rsid w:val="00376E2A"/>
    <w:rsid w:val="00397CC3"/>
    <w:rsid w:val="003D0F31"/>
    <w:rsid w:val="003E6555"/>
    <w:rsid w:val="00410440"/>
    <w:rsid w:val="00413967"/>
    <w:rsid w:val="00467F50"/>
    <w:rsid w:val="00471C94"/>
    <w:rsid w:val="004A4142"/>
    <w:rsid w:val="004E4E39"/>
    <w:rsid w:val="00505F8E"/>
    <w:rsid w:val="00511C41"/>
    <w:rsid w:val="005175E0"/>
    <w:rsid w:val="00530880"/>
    <w:rsid w:val="0053566B"/>
    <w:rsid w:val="00544F95"/>
    <w:rsid w:val="00567339"/>
    <w:rsid w:val="00572722"/>
    <w:rsid w:val="005A6D79"/>
    <w:rsid w:val="005C07DB"/>
    <w:rsid w:val="005C33E6"/>
    <w:rsid w:val="005E6BE2"/>
    <w:rsid w:val="005E71C0"/>
    <w:rsid w:val="006111E5"/>
    <w:rsid w:val="006222BA"/>
    <w:rsid w:val="00631F43"/>
    <w:rsid w:val="006332F7"/>
    <w:rsid w:val="00675175"/>
    <w:rsid w:val="006B02D9"/>
    <w:rsid w:val="006B63FD"/>
    <w:rsid w:val="006D743A"/>
    <w:rsid w:val="006F22CA"/>
    <w:rsid w:val="006F2748"/>
    <w:rsid w:val="0070406A"/>
    <w:rsid w:val="0072375D"/>
    <w:rsid w:val="00743D8A"/>
    <w:rsid w:val="0075669D"/>
    <w:rsid w:val="00772B4B"/>
    <w:rsid w:val="007B07A2"/>
    <w:rsid w:val="007B2B90"/>
    <w:rsid w:val="007D24CE"/>
    <w:rsid w:val="007E324D"/>
    <w:rsid w:val="00817B49"/>
    <w:rsid w:val="00823AC9"/>
    <w:rsid w:val="00832103"/>
    <w:rsid w:val="00851BD7"/>
    <w:rsid w:val="00891784"/>
    <w:rsid w:val="008A7ED5"/>
    <w:rsid w:val="008B2EE9"/>
    <w:rsid w:val="008C42D7"/>
    <w:rsid w:val="008E7DAB"/>
    <w:rsid w:val="008F54AC"/>
    <w:rsid w:val="008F6B15"/>
    <w:rsid w:val="00920562"/>
    <w:rsid w:val="009359F7"/>
    <w:rsid w:val="00970FB2"/>
    <w:rsid w:val="00990B49"/>
    <w:rsid w:val="009954C1"/>
    <w:rsid w:val="009A01E1"/>
    <w:rsid w:val="009A0C3D"/>
    <w:rsid w:val="009A515C"/>
    <w:rsid w:val="009B0BA6"/>
    <w:rsid w:val="009B7786"/>
    <w:rsid w:val="009C39FA"/>
    <w:rsid w:val="009E633B"/>
    <w:rsid w:val="00A12B6E"/>
    <w:rsid w:val="00A346D1"/>
    <w:rsid w:val="00A561EC"/>
    <w:rsid w:val="00A94071"/>
    <w:rsid w:val="00AA5C99"/>
    <w:rsid w:val="00AA5D11"/>
    <w:rsid w:val="00AA619F"/>
    <w:rsid w:val="00AC73EF"/>
    <w:rsid w:val="00AD12C3"/>
    <w:rsid w:val="00AD73CE"/>
    <w:rsid w:val="00B0089C"/>
    <w:rsid w:val="00B47CAD"/>
    <w:rsid w:val="00B60D42"/>
    <w:rsid w:val="00B85F99"/>
    <w:rsid w:val="00BA6564"/>
    <w:rsid w:val="00BC399C"/>
    <w:rsid w:val="00BC7687"/>
    <w:rsid w:val="00BF3DF2"/>
    <w:rsid w:val="00C001DA"/>
    <w:rsid w:val="00C17198"/>
    <w:rsid w:val="00C41C1A"/>
    <w:rsid w:val="00C45669"/>
    <w:rsid w:val="00C53625"/>
    <w:rsid w:val="00C6219D"/>
    <w:rsid w:val="00C6709E"/>
    <w:rsid w:val="00C923FE"/>
    <w:rsid w:val="00CC1B97"/>
    <w:rsid w:val="00CD1A57"/>
    <w:rsid w:val="00CE176F"/>
    <w:rsid w:val="00CF28F3"/>
    <w:rsid w:val="00D13767"/>
    <w:rsid w:val="00D3168E"/>
    <w:rsid w:val="00D32A7F"/>
    <w:rsid w:val="00DC5E75"/>
    <w:rsid w:val="00DE31DB"/>
    <w:rsid w:val="00DF10AF"/>
    <w:rsid w:val="00DF4122"/>
    <w:rsid w:val="00E21585"/>
    <w:rsid w:val="00E444C9"/>
    <w:rsid w:val="00E73AE7"/>
    <w:rsid w:val="00E83962"/>
    <w:rsid w:val="00E97975"/>
    <w:rsid w:val="00EC27EE"/>
    <w:rsid w:val="00EF186E"/>
    <w:rsid w:val="00EF335C"/>
    <w:rsid w:val="00F03391"/>
    <w:rsid w:val="00F06E83"/>
    <w:rsid w:val="00F10968"/>
    <w:rsid w:val="00F1216A"/>
    <w:rsid w:val="00F23FD8"/>
    <w:rsid w:val="00F3728A"/>
    <w:rsid w:val="00F55427"/>
    <w:rsid w:val="00F7006C"/>
    <w:rsid w:val="00F95D2A"/>
    <w:rsid w:val="00FA3EA0"/>
    <w:rsid w:val="00FA5AB6"/>
    <w:rsid w:val="00FB7B9B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purl.org/dc/terms/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51F22B-9F48-48D0-B898-6136F6A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2023-04-19T17:03:00Z</dcterms:created>
  <dcterms:modified xsi:type="dcterms:W3CDTF">2023-04-19T18:21:00Z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