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30D8" w14:textId="77D2003F" w:rsidR="001C05DD" w:rsidRDefault="001A4759" w:rsidP="000F10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58E8EC0A" w14:textId="7AF92B86" w:rsidR="000F10B2" w:rsidRDefault="000F10B2" w:rsidP="000F10B2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Επειδή τα τμήματα ΑΖ και ΑΕ είναι κάθετα στις πλευρές ΔΓ και ΓΒ αντίστοιχα, οι γωνίες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</m:t>
        </m:r>
        <m:acc>
          <m:accPr>
            <m:ctrlPr>
              <w:rPr>
                <w:rFonts w:ascii="Cambria Math" w:hAnsi="Cambria Math" w:cstheme="minorHAnsi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Ζ</m:t>
            </m:r>
          </m:e>
        </m:acc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Δ</m:t>
        </m:r>
      </m:oMath>
    </w:p>
    <w:p w14:paraId="74E38AAB" w14:textId="4CF0AB1A" w:rsidR="000F10B2" w:rsidRDefault="000F10B2" w:rsidP="000F10B2">
      <w:p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και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Α</m:t>
        </m:r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Ε</m:t>
            </m:r>
          </m:e>
        </m:acc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Β</m:t>
        </m:r>
      </m:oMath>
      <w:r>
        <w:rPr>
          <w:rFonts w:eastAsiaTheme="minorEastAsia"/>
          <w:sz w:val="24"/>
          <w:szCs w:val="24"/>
        </w:rPr>
        <w:t xml:space="preserve"> είναι ορθές.</w:t>
      </w:r>
    </w:p>
    <w:p w14:paraId="08EC6D8B" w14:textId="13D4399B" w:rsidR="000F10B2" w:rsidRPr="000F353F" w:rsidRDefault="000F10B2" w:rsidP="001C05DD">
      <w:pPr>
        <w:spacing w:line="360" w:lineRule="auto"/>
        <w:jc w:val="center"/>
        <w:rPr>
          <w:sz w:val="24"/>
          <w:szCs w:val="24"/>
        </w:rPr>
      </w:pPr>
      <w:r w:rsidRPr="000F10B2">
        <w:rPr>
          <w:noProof/>
          <w:sz w:val="24"/>
          <w:szCs w:val="24"/>
        </w:rPr>
        <w:drawing>
          <wp:inline distT="0" distB="0" distL="0" distR="0" wp14:anchorId="13FBE27B" wp14:editId="1426F252">
            <wp:extent cx="2678400" cy="14148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A257" w14:textId="7CFAB4E0" w:rsidR="001C05DD" w:rsidRDefault="001C05DD" w:rsidP="001C05D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α)</w:t>
      </w:r>
      <w:r>
        <w:rPr>
          <w:rFonts w:cstheme="minorHAnsi"/>
          <w:sz w:val="24"/>
          <w:szCs w:val="24"/>
        </w:rPr>
        <w:t xml:space="preserve"> Έστω ότι το ΑΒΓΔ είναι ρόμβος. Τότε τα τρίγωνα ΑΖΔ και ΑΕΒ είναι ορθογώνια και έχουν:</w:t>
      </w:r>
    </w:p>
    <w:p w14:paraId="7B6A99C6" w14:textId="4B31C103" w:rsidR="001C05DD" w:rsidRDefault="001C05DD" w:rsidP="001C05DD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AΔ = AB</w:t>
      </w:r>
      <w:r w:rsidR="000F10B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ως πλευρές του ρόμβου</w:t>
      </w:r>
    </w:p>
    <w:p w14:paraId="439A4DA5" w14:textId="77777777" w:rsidR="001C05DD" w:rsidRDefault="00000000" w:rsidP="001C05DD">
      <w:pPr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Δ</m:t>
            </m:r>
          </m:e>
        </m:acc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="001C05DD">
        <w:rPr>
          <w:rFonts w:cstheme="minorHAnsi"/>
          <w:sz w:val="24"/>
          <w:szCs w:val="24"/>
        </w:rPr>
        <w:t>, ως απέναντι γωνίες του ρόμβου</w:t>
      </w:r>
    </w:p>
    <w:p w14:paraId="4C1B32F8" w14:textId="02F5123D" w:rsidR="00DC5E75" w:rsidRPr="00F74629" w:rsidRDefault="001C05DD" w:rsidP="00DC5E75">
      <w:pPr>
        <w:spacing w:line="360" w:lineRule="auto"/>
        <w:jc w:val="both"/>
        <w:rPr>
          <w:noProof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 xml:space="preserve">Οπότε έχουν την </w:t>
      </w:r>
      <w:proofErr w:type="spellStart"/>
      <w:r>
        <w:rPr>
          <w:rFonts w:cstheme="minorHAnsi"/>
          <w:sz w:val="24"/>
          <w:szCs w:val="24"/>
        </w:rPr>
        <w:t>υποτείνουσα</w:t>
      </w:r>
      <w:proofErr w:type="spellEnd"/>
      <w:r>
        <w:rPr>
          <w:rFonts w:cstheme="minorHAnsi"/>
          <w:sz w:val="24"/>
          <w:szCs w:val="24"/>
        </w:rPr>
        <w:t xml:space="preserve"> και μία οξεία γωνία </w:t>
      </w:r>
      <w:r w:rsidR="000F10B2">
        <w:rPr>
          <w:rFonts w:cstheme="minorHAnsi"/>
          <w:sz w:val="24"/>
          <w:szCs w:val="24"/>
        </w:rPr>
        <w:t xml:space="preserve">αντίστοιχα </w:t>
      </w:r>
      <w:r>
        <w:rPr>
          <w:rFonts w:cstheme="minorHAnsi"/>
          <w:sz w:val="24"/>
          <w:szCs w:val="24"/>
        </w:rPr>
        <w:t>ίσες μία προς μία. Άρα τα τρίγωνα είναι ίσα, οπότε έχουν ίσες και τις πλευρές που βρίσκονται απέναντι από τις ίσες γωνίες</w:t>
      </w:r>
      <w:r w:rsidR="00F74629">
        <w:rPr>
          <w:rFonts w:cstheme="minorHAnsi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Δ</m:t>
            </m:r>
          </m:e>
        </m:acc>
      </m:oMath>
      <w:r>
        <w:rPr>
          <w:rFonts w:cstheme="minorHAnsi"/>
          <w:sz w:val="24"/>
          <w:szCs w:val="24"/>
        </w:rPr>
        <w:t xml:space="preserve">, </w:t>
      </w:r>
      <w:r w:rsidR="000F10B2">
        <w:rPr>
          <w:rFonts w:cstheme="minorHAnsi"/>
          <w:sz w:val="24"/>
          <w:szCs w:val="24"/>
        </w:rPr>
        <w:t xml:space="preserve">και </w:t>
      </w: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="000F10B2">
        <w:rPr>
          <w:rFonts w:eastAsiaTheme="minorEastAsia" w:cstheme="minorHAnsi"/>
          <w:sz w:val="24"/>
          <w:szCs w:val="24"/>
        </w:rPr>
        <w:t xml:space="preserve"> αντίστοιχα, </w:t>
      </w:r>
      <w:r>
        <w:rPr>
          <w:rFonts w:cstheme="minorHAnsi"/>
          <w:sz w:val="24"/>
          <w:szCs w:val="24"/>
        </w:rPr>
        <w:t>δηλαδή AZ = AE.</w:t>
      </w:r>
      <w:r>
        <w:rPr>
          <w:noProof/>
          <w:sz w:val="24"/>
          <w:szCs w:val="24"/>
          <w:lang w:eastAsia="el-GR"/>
        </w:rPr>
        <w:t xml:space="preserve"> </w:t>
      </w:r>
    </w:p>
    <w:p w14:paraId="58BC51E2" w14:textId="77777777" w:rsidR="000F10B2" w:rsidRDefault="00DC5E75" w:rsidP="000F10B2">
      <w:pPr>
        <w:spacing w:line="360" w:lineRule="auto"/>
        <w:jc w:val="both"/>
        <w:rPr>
          <w:rFonts w:cstheme="minorHAnsi"/>
          <w:sz w:val="24"/>
          <w:szCs w:val="24"/>
        </w:rPr>
      </w:pPr>
      <w:r w:rsidRPr="000F10B2">
        <w:rPr>
          <w:b/>
          <w:bCs/>
          <w:sz w:val="24"/>
          <w:szCs w:val="24"/>
        </w:rPr>
        <w:t>β</w:t>
      </w:r>
      <w:r w:rsidR="00E73AE7" w:rsidRPr="000F10B2">
        <w:rPr>
          <w:b/>
          <w:bCs/>
          <w:sz w:val="24"/>
          <w:szCs w:val="24"/>
        </w:rPr>
        <w:t>)</w:t>
      </w:r>
      <w:r w:rsidR="00FA5AB6" w:rsidRPr="001A4759">
        <w:rPr>
          <w:sz w:val="24"/>
          <w:szCs w:val="24"/>
        </w:rPr>
        <w:t xml:space="preserve"> </w:t>
      </w:r>
      <w:r w:rsidR="000F10B2">
        <w:rPr>
          <w:rFonts w:cstheme="minorHAnsi"/>
          <w:sz w:val="24"/>
          <w:szCs w:val="24"/>
        </w:rPr>
        <w:t>Έστω ότι στο παραλληλόγραμμο ΑΒΓΔ ισχύει AZ = AE.</w:t>
      </w:r>
    </w:p>
    <w:p w14:paraId="4B9E28D6" w14:textId="77777777" w:rsidR="000F10B2" w:rsidRDefault="000F10B2" w:rsidP="000F10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Τα τρίγωνα ΑΖΔ και ΑΕΒ είναι ορθογώνια και έχουν:</w:t>
      </w:r>
    </w:p>
    <w:p w14:paraId="0D917C80" w14:textId="77777777" w:rsidR="000F10B2" w:rsidRDefault="000F10B2" w:rsidP="000F10B2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= AE από υπόθεση</w:t>
      </w:r>
    </w:p>
    <w:p w14:paraId="2161FD6A" w14:textId="77777777" w:rsidR="000F10B2" w:rsidRDefault="00000000" w:rsidP="000F10B2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Δ</m:t>
            </m:r>
          </m:e>
        </m:acc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Β</m:t>
            </m:r>
          </m:e>
        </m:acc>
      </m:oMath>
      <w:r w:rsidR="000F10B2">
        <w:rPr>
          <w:rFonts w:cstheme="minorHAnsi"/>
          <w:sz w:val="24"/>
          <w:szCs w:val="24"/>
        </w:rPr>
        <w:t>, ως απέναντι γωνίες του παραλληλογράμμου</w:t>
      </w:r>
    </w:p>
    <w:p w14:paraId="474386DA" w14:textId="4745606F" w:rsidR="000F10B2" w:rsidRDefault="000F10B2" w:rsidP="000F10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Επειδή τα τρίγωνα έχουν μία κάθετη πλευρά και μία οξεία γωνία αντίστοιχα ίσες μία προς μία, θα είναι ίσα. Οπότε θα έχουν και τις </w:t>
      </w:r>
      <w:proofErr w:type="spellStart"/>
      <w:r>
        <w:rPr>
          <w:rFonts w:cstheme="minorHAnsi"/>
          <w:sz w:val="24"/>
          <w:szCs w:val="24"/>
        </w:rPr>
        <w:t>υποτείνουσες</w:t>
      </w:r>
      <w:proofErr w:type="spellEnd"/>
      <w:r>
        <w:rPr>
          <w:rFonts w:cstheme="minorHAnsi"/>
          <w:sz w:val="24"/>
          <w:szCs w:val="24"/>
        </w:rPr>
        <w:t xml:space="preserve"> ίσες, δηλαδή AΔ = AB.</w:t>
      </w:r>
    </w:p>
    <w:p w14:paraId="04992DA5" w14:textId="4B9165FA" w:rsidR="000F10B2" w:rsidRDefault="000F10B2" w:rsidP="000F10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Επειδή στο παραλληλόγραμμο ΑΒΓΔ δύο διαδοχικές πλευρές του είναι ίσες, είναι ρόμβος.</w:t>
      </w:r>
    </w:p>
    <w:sectPr w:rsidR="000F10B2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439A" w14:textId="77777777" w:rsidR="008E2545" w:rsidRDefault="008E2545" w:rsidP="005E6BE2">
      <w:r>
        <w:separator/>
      </w:r>
    </w:p>
  </w:endnote>
  <w:endnote w:type="continuationSeparator" w:id="0">
    <w:p w14:paraId="66757A45" w14:textId="77777777" w:rsidR="008E2545" w:rsidRDefault="008E254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5778" w14:textId="77777777" w:rsidR="008E2545" w:rsidRDefault="008E2545" w:rsidP="005E6BE2">
      <w:r>
        <w:separator/>
      </w:r>
    </w:p>
  </w:footnote>
  <w:footnote w:type="continuationSeparator" w:id="0">
    <w:p w14:paraId="6A162E87" w14:textId="77777777" w:rsidR="008E2545" w:rsidRDefault="008E254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393"/>
    <w:multiLevelType w:val="hybridMultilevel"/>
    <w:tmpl w:val="2A928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FA6"/>
    <w:multiLevelType w:val="hybridMultilevel"/>
    <w:tmpl w:val="9EA01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22388">
    <w:abstractNumId w:val="5"/>
  </w:num>
  <w:num w:numId="2" w16cid:durableId="1230263802">
    <w:abstractNumId w:val="4"/>
  </w:num>
  <w:num w:numId="3" w16cid:durableId="1784418004">
    <w:abstractNumId w:val="2"/>
  </w:num>
  <w:num w:numId="4" w16cid:durableId="172961983">
    <w:abstractNumId w:val="3"/>
  </w:num>
  <w:num w:numId="5" w16cid:durableId="1078097915">
    <w:abstractNumId w:val="1"/>
  </w:num>
  <w:num w:numId="6" w16cid:durableId="172795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DD"/>
    <w:rsid w:val="00064174"/>
    <w:rsid w:val="00094A65"/>
    <w:rsid w:val="000F10B2"/>
    <w:rsid w:val="000F26B8"/>
    <w:rsid w:val="000F353F"/>
    <w:rsid w:val="00105218"/>
    <w:rsid w:val="001A2B17"/>
    <w:rsid w:val="001A4759"/>
    <w:rsid w:val="001C05DD"/>
    <w:rsid w:val="001E7E63"/>
    <w:rsid w:val="00223546"/>
    <w:rsid w:val="00230616"/>
    <w:rsid w:val="002878A9"/>
    <w:rsid w:val="00572722"/>
    <w:rsid w:val="005A6D79"/>
    <w:rsid w:val="005C33E6"/>
    <w:rsid w:val="005E6BE2"/>
    <w:rsid w:val="006332F7"/>
    <w:rsid w:val="0075669D"/>
    <w:rsid w:val="007B2B90"/>
    <w:rsid w:val="00817B49"/>
    <w:rsid w:val="008E2545"/>
    <w:rsid w:val="008F6B15"/>
    <w:rsid w:val="00970FB2"/>
    <w:rsid w:val="00990B49"/>
    <w:rsid w:val="009B0BA6"/>
    <w:rsid w:val="009B7786"/>
    <w:rsid w:val="00A06485"/>
    <w:rsid w:val="00AA5C99"/>
    <w:rsid w:val="00B0089C"/>
    <w:rsid w:val="00B60D42"/>
    <w:rsid w:val="00C17198"/>
    <w:rsid w:val="00C45669"/>
    <w:rsid w:val="00C53625"/>
    <w:rsid w:val="00C6709E"/>
    <w:rsid w:val="00CD1A57"/>
    <w:rsid w:val="00D12CEC"/>
    <w:rsid w:val="00D32A7F"/>
    <w:rsid w:val="00D96ACF"/>
    <w:rsid w:val="00DC5E75"/>
    <w:rsid w:val="00E21585"/>
    <w:rsid w:val="00E73AE7"/>
    <w:rsid w:val="00ED3F87"/>
    <w:rsid w:val="00F74629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89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75\&#925;&#917;&#927;_%20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 lysi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2023-01-17T18:56:00Z</dcterms:created>
  <dcterms:modified xsi:type="dcterms:W3CDTF">2023-02-21T19:08:00Z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