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FD44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5F52CF15" w14:textId="5197105F" w:rsidR="000225FE" w:rsidRDefault="000225FE" w:rsidP="000225F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α) </w:t>
      </w:r>
    </w:p>
    <w:p w14:paraId="32EC4ED3" w14:textId="11DD0B50" w:rsidR="000225FE" w:rsidRDefault="000225FE" w:rsidP="000225FE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225FE">
        <w:rPr>
          <w:rFonts w:cstheme="minorHAnsi"/>
          <w:b/>
          <w:noProof/>
          <w:sz w:val="24"/>
          <w:szCs w:val="24"/>
        </w:rPr>
        <w:drawing>
          <wp:inline distT="0" distB="0" distL="0" distR="0" wp14:anchorId="6B3BACCF" wp14:editId="6324B267">
            <wp:extent cx="2667000" cy="223837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F4847" w14:textId="77777777" w:rsidR="000225FE" w:rsidRDefault="000225FE" w:rsidP="000225F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Τα τρίγωνα ΑΔΒ και ΑΕΓ έχουν:</w:t>
      </w:r>
    </w:p>
    <w:p w14:paraId="3EE471A2" w14:textId="77777777" w:rsidR="000225FE" w:rsidRDefault="000225FE" w:rsidP="000225FE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Β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</m:t>
            </m:r>
          </m:e>
        </m:acc>
      </m:oMath>
      <w:r>
        <w:rPr>
          <w:rFonts w:eastAsiaTheme="minorEastAsia" w:cstheme="minorHAnsi"/>
          <w:sz w:val="24"/>
          <w:szCs w:val="24"/>
        </w:rPr>
        <w:t>Δ = Γ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</m:t>
            </m:r>
          </m:e>
        </m:acc>
      </m:oMath>
      <w:r>
        <w:rPr>
          <w:rFonts w:eastAsiaTheme="minorEastAsia" w:cstheme="minorHAnsi"/>
          <w:sz w:val="24"/>
          <w:szCs w:val="24"/>
        </w:rPr>
        <w:t>Ε =90</w:t>
      </w:r>
      <w:r>
        <w:rPr>
          <w:rFonts w:eastAsiaTheme="minorEastAsia" w:cstheme="minorHAnsi"/>
          <w:sz w:val="24"/>
          <w:szCs w:val="24"/>
        </w:rPr>
        <w:sym w:font="Symbol" w:char="F0B0"/>
      </w:r>
      <w:r>
        <w:rPr>
          <w:rFonts w:eastAsiaTheme="minorEastAsia" w:cstheme="minorHAnsi"/>
          <w:sz w:val="24"/>
          <w:szCs w:val="24"/>
        </w:rPr>
        <w:t xml:space="preserve"> γιατί Α</w:t>
      </w:r>
      <w:r>
        <w:rPr>
          <w:rFonts w:eastAsiaTheme="minorEastAsia" w:cstheme="minorHAnsi"/>
          <w:sz w:val="24"/>
          <w:szCs w:val="24"/>
          <w:lang w:val="en-US"/>
        </w:rPr>
        <w:t>x</w:t>
      </w:r>
      <w:r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⊥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  <w:lang w:val="en-US"/>
        </w:rPr>
        <w:t>AB</w:t>
      </w:r>
      <w:r>
        <w:rPr>
          <w:rFonts w:eastAsiaTheme="minorEastAsia" w:cstheme="minorHAnsi"/>
          <w:sz w:val="24"/>
          <w:szCs w:val="24"/>
        </w:rPr>
        <w:t xml:space="preserve"> και Α</w:t>
      </w:r>
      <w:r>
        <w:rPr>
          <w:rFonts w:eastAsiaTheme="minorEastAsia" w:cstheme="minorHAnsi"/>
          <w:sz w:val="24"/>
          <w:szCs w:val="24"/>
          <w:lang w:val="en-US"/>
        </w:rPr>
        <w:t>y</w:t>
      </w:r>
      <w:r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⊥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  <w:lang w:val="en-US"/>
        </w:rPr>
        <w:t>A</w:t>
      </w:r>
      <w:r>
        <w:rPr>
          <w:rFonts w:eastAsiaTheme="minorEastAsia" w:cstheme="minorHAnsi"/>
          <w:sz w:val="24"/>
          <w:szCs w:val="24"/>
        </w:rPr>
        <w:t>Γ από υπόθεση.</w:t>
      </w:r>
    </w:p>
    <w:p w14:paraId="5CE82346" w14:textId="5A3E276F" w:rsidR="000225FE" w:rsidRDefault="000225FE" w:rsidP="000225FE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ΑΒ = ΑΓ από υπόθεση.</w:t>
      </w:r>
    </w:p>
    <w:p w14:paraId="509E22F3" w14:textId="1D7BAF68" w:rsidR="000225FE" w:rsidRDefault="000225FE" w:rsidP="000225FE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ΑΔ = ΑΕ από υπόθεση </w:t>
      </w:r>
    </w:p>
    <w:p w14:paraId="5DAF9B0B" w14:textId="77777777" w:rsidR="000225FE" w:rsidRDefault="000225FE" w:rsidP="000225F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Άρα τα τρίγωνα ΑΔΒ και ΑΕΓ είναι ίσα ως ορθογώνια που έχουν δυο ομόλογες πλευρές τους (τις κάθετες) ίσες μία προς μία, οπότε ως ίσα θα έχουν ίσες και τις </w:t>
      </w:r>
      <w:proofErr w:type="spellStart"/>
      <w:r>
        <w:rPr>
          <w:rFonts w:cstheme="minorHAnsi"/>
          <w:sz w:val="24"/>
          <w:szCs w:val="24"/>
        </w:rPr>
        <w:t>υποτείνουσές</w:t>
      </w:r>
      <w:proofErr w:type="spellEnd"/>
      <w:r>
        <w:rPr>
          <w:rFonts w:cstheme="minorHAnsi"/>
          <w:sz w:val="24"/>
          <w:szCs w:val="24"/>
        </w:rPr>
        <w:t xml:space="preserve"> τους ΒΔ και ΓΕ, δηλαδή ΒΔ = ΓΕ.</w:t>
      </w:r>
    </w:p>
    <w:p w14:paraId="34DBDBE0" w14:textId="77777777" w:rsidR="000225FE" w:rsidRDefault="000225FE" w:rsidP="000225F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β)</w:t>
      </w:r>
      <w:r>
        <w:rPr>
          <w:rFonts w:cstheme="minorHAnsi"/>
          <w:sz w:val="24"/>
          <w:szCs w:val="24"/>
        </w:rPr>
        <w:t xml:space="preserve"> </w:t>
      </w:r>
    </w:p>
    <w:p w14:paraId="0094D55E" w14:textId="0FCA45B9" w:rsidR="000225FE" w:rsidRDefault="000225FE" w:rsidP="000225FE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  <w:r w:rsidRPr="000225FE">
        <w:rPr>
          <w:rFonts w:cstheme="minorHAnsi"/>
          <w:noProof/>
          <w:sz w:val="24"/>
          <w:szCs w:val="24"/>
        </w:rPr>
        <w:drawing>
          <wp:inline distT="0" distB="0" distL="0" distR="0" wp14:anchorId="1353C0E9" wp14:editId="05C914EA">
            <wp:extent cx="2724150" cy="23050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3E9E0" w14:textId="77777777" w:rsidR="000225FE" w:rsidRDefault="000225FE" w:rsidP="000225F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Στο ορθογώνιο τρίγωνο ΔΑΒ το τμήμα ΑΜ είναι διάμεσος που αντιστοιχεί στην </w:t>
      </w:r>
      <w:proofErr w:type="spellStart"/>
      <w:r>
        <w:rPr>
          <w:rFonts w:cstheme="minorHAnsi"/>
          <w:sz w:val="24"/>
          <w:szCs w:val="24"/>
        </w:rPr>
        <w:t>υποτείνουσα</w:t>
      </w:r>
      <w:proofErr w:type="spellEnd"/>
      <w:r>
        <w:rPr>
          <w:rFonts w:cstheme="minorHAnsi"/>
          <w:sz w:val="24"/>
          <w:szCs w:val="24"/>
        </w:rPr>
        <w:t xml:space="preserve"> ΒΔ άρα θα ισούται με το μισό της, δηλαδή είναι AM =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ΒΔ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2</m:t>
            </m:r>
          </m:den>
        </m:f>
      </m:oMath>
      <w:r>
        <w:rPr>
          <w:rFonts w:eastAsiaTheme="minorEastAsia" w:cstheme="minorHAnsi"/>
          <w:bCs/>
          <w:color w:val="000000"/>
          <w:sz w:val="28"/>
          <w:szCs w:val="28"/>
        </w:rPr>
        <w:t xml:space="preserve"> </w:t>
      </w:r>
      <w:r>
        <w:rPr>
          <w:rFonts w:eastAsiaTheme="minorEastAsia" w:cstheme="minorHAnsi"/>
          <w:bCs/>
          <w:color w:val="000000"/>
          <w:sz w:val="24"/>
          <w:szCs w:val="24"/>
        </w:rPr>
        <w:t>(1)</w:t>
      </w:r>
    </w:p>
    <w:p w14:paraId="584FF923" w14:textId="77777777" w:rsidR="000225FE" w:rsidRDefault="000225FE" w:rsidP="000225F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Στο ορθογώνιο τρίγωνο ΕΑΓ το τμήμα ΑΝ είναι διάμεσος που αντιστοιχεί στην </w:t>
      </w:r>
      <w:proofErr w:type="spellStart"/>
      <w:r>
        <w:rPr>
          <w:rFonts w:cstheme="minorHAnsi"/>
          <w:sz w:val="24"/>
          <w:szCs w:val="24"/>
        </w:rPr>
        <w:t>υποτείνουσα</w:t>
      </w:r>
      <w:proofErr w:type="spellEnd"/>
      <w:r>
        <w:rPr>
          <w:rFonts w:cstheme="minorHAnsi"/>
          <w:sz w:val="24"/>
          <w:szCs w:val="24"/>
        </w:rPr>
        <w:t xml:space="preserve"> ΕΓ άρα θα ισούται με το μισό της, δηλαδή είναι AN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ΓΕ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(2)</w:t>
      </w:r>
    </w:p>
    <w:p w14:paraId="0F15877D" w14:textId="77777777" w:rsidR="000225FE" w:rsidRDefault="000225FE" w:rsidP="000225F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Επειδή ΒΔ = ΓΕ (από το ερώτημα α), τότε από τις σχέσεις (1) και (2) προκύπτει ότι AM = AN, άρα το τρίγωνο ΑΜΝ είναι ισοσκελές.</w:t>
      </w:r>
    </w:p>
    <w:p w14:paraId="4931115A" w14:textId="77777777" w:rsidR="000225FE" w:rsidRDefault="000225FE" w:rsidP="00DC5E75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</w:p>
    <w:sectPr w:rsidR="000225FE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DE37" w14:textId="77777777" w:rsidR="00BD15A5" w:rsidRDefault="00BD15A5" w:rsidP="005E6BE2">
      <w:r>
        <w:separator/>
      </w:r>
    </w:p>
  </w:endnote>
  <w:endnote w:type="continuationSeparator" w:id="0">
    <w:p w14:paraId="609364FE" w14:textId="77777777" w:rsidR="00BD15A5" w:rsidRDefault="00BD15A5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A23B" w14:textId="77777777" w:rsidR="00BD15A5" w:rsidRDefault="00BD15A5" w:rsidP="005E6BE2">
      <w:r>
        <w:separator/>
      </w:r>
    </w:p>
  </w:footnote>
  <w:footnote w:type="continuationSeparator" w:id="0">
    <w:p w14:paraId="2443FA97" w14:textId="77777777" w:rsidR="00BD15A5" w:rsidRDefault="00BD15A5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39B4"/>
    <w:multiLevelType w:val="hybridMultilevel"/>
    <w:tmpl w:val="C6C61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689814">
    <w:abstractNumId w:val="4"/>
  </w:num>
  <w:num w:numId="2" w16cid:durableId="1871721766">
    <w:abstractNumId w:val="3"/>
  </w:num>
  <w:num w:numId="3" w16cid:durableId="1895919800">
    <w:abstractNumId w:val="1"/>
  </w:num>
  <w:num w:numId="4" w16cid:durableId="1436822838">
    <w:abstractNumId w:val="2"/>
  </w:num>
  <w:num w:numId="5" w16cid:durableId="10017849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FE"/>
    <w:rsid w:val="000225FE"/>
    <w:rsid w:val="00064174"/>
    <w:rsid w:val="00094A65"/>
    <w:rsid w:val="000F26B8"/>
    <w:rsid w:val="000F353F"/>
    <w:rsid w:val="00105218"/>
    <w:rsid w:val="001A4759"/>
    <w:rsid w:val="001E7E63"/>
    <w:rsid w:val="00223546"/>
    <w:rsid w:val="002878A9"/>
    <w:rsid w:val="00572722"/>
    <w:rsid w:val="005A6D79"/>
    <w:rsid w:val="005C33E6"/>
    <w:rsid w:val="005E6BE2"/>
    <w:rsid w:val="006332F7"/>
    <w:rsid w:val="006C7798"/>
    <w:rsid w:val="0075669D"/>
    <w:rsid w:val="007B2B90"/>
    <w:rsid w:val="00817B49"/>
    <w:rsid w:val="008F6B15"/>
    <w:rsid w:val="00970FB2"/>
    <w:rsid w:val="00990B49"/>
    <w:rsid w:val="009B0BA6"/>
    <w:rsid w:val="009B7786"/>
    <w:rsid w:val="00A06485"/>
    <w:rsid w:val="00AA5C99"/>
    <w:rsid w:val="00B0089C"/>
    <w:rsid w:val="00B60D42"/>
    <w:rsid w:val="00BD15A5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5B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55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 lysi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2023-01-12T18:53:00Z</dcterms:created>
  <dcterms:modified xsi:type="dcterms:W3CDTF">2023-01-12T19:02:00Z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