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52A3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6F754B4E" w14:textId="4740B958" w:rsidR="006761E6" w:rsidRDefault="00F532DD" w:rsidP="006761E6">
      <w:pPr>
        <w:spacing w:line="360" w:lineRule="auto"/>
        <w:jc w:val="center"/>
        <w:rPr>
          <w:sz w:val="24"/>
          <w:szCs w:val="24"/>
        </w:rPr>
      </w:pPr>
      <w:r w:rsidRPr="00F532DD">
        <w:rPr>
          <w:noProof/>
          <w:sz w:val="24"/>
          <w:szCs w:val="24"/>
        </w:rPr>
        <w:drawing>
          <wp:inline distT="0" distB="0" distL="0" distR="0" wp14:anchorId="1732592B" wp14:editId="3D846373">
            <wp:extent cx="1756178" cy="15430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70" cy="154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8FFFE" w14:textId="21B4861E" w:rsidR="006761E6" w:rsidRDefault="00E73AE7" w:rsidP="006761E6">
      <w:pPr>
        <w:spacing w:line="360" w:lineRule="auto"/>
        <w:jc w:val="both"/>
        <w:rPr>
          <w:sz w:val="24"/>
          <w:szCs w:val="24"/>
        </w:rPr>
      </w:pPr>
      <w:r w:rsidRPr="000D715A">
        <w:rPr>
          <w:b/>
          <w:bCs/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  <w:r w:rsidR="006761E6">
        <w:rPr>
          <w:sz w:val="24"/>
          <w:szCs w:val="24"/>
        </w:rPr>
        <w:t xml:space="preserve">Από τα δεδομένα έχουμε ότι οι χορδές ΔΓ, </w:t>
      </w:r>
      <w:r w:rsidR="00F62AEB">
        <w:rPr>
          <w:sz w:val="24"/>
          <w:szCs w:val="24"/>
        </w:rPr>
        <w:t>ΑΒ</w:t>
      </w:r>
      <w:r w:rsidR="006761E6">
        <w:rPr>
          <w:sz w:val="24"/>
          <w:szCs w:val="24"/>
        </w:rPr>
        <w:t xml:space="preserve"> είναι κάθετες στις ΑΔ, ΒΓ αντίστοιχα, οπότε οι γωνίες </w:t>
      </w:r>
      <w:r w:rsidR="006761E6" w:rsidRPr="00F62AEB">
        <w:rPr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="006761E6" w:rsidRPr="00F62AEB">
        <w:rPr>
          <w:sz w:val="24"/>
          <w:szCs w:val="24"/>
        </w:rPr>
        <w:t>Γ και Α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="006761E6" w:rsidRPr="00F62AEB">
        <w:rPr>
          <w:sz w:val="24"/>
          <w:szCs w:val="24"/>
        </w:rPr>
        <w:t xml:space="preserve">Γ </w:t>
      </w:r>
      <w:r w:rsidR="006761E6">
        <w:rPr>
          <w:sz w:val="24"/>
          <w:szCs w:val="24"/>
        </w:rPr>
        <w:t xml:space="preserve">είναι ορθές. Επομένως τα τρίγωνα ΑΔΓ και ΑΒΓ είναι ορθογώνια και έχουν την πλευρά ΑΓ κοινή και </w:t>
      </w:r>
      <w:r w:rsidR="00F62AEB">
        <w:rPr>
          <w:sz w:val="24"/>
          <w:szCs w:val="24"/>
        </w:rPr>
        <w:t xml:space="preserve">τις πλευρές </w:t>
      </w:r>
      <w:r w:rsidR="006761E6">
        <w:rPr>
          <w:sz w:val="24"/>
          <w:szCs w:val="24"/>
        </w:rPr>
        <w:t xml:space="preserve">ΑΔ </w:t>
      </w:r>
      <w:r w:rsidR="00F62AEB">
        <w:rPr>
          <w:sz w:val="24"/>
          <w:szCs w:val="24"/>
        </w:rPr>
        <w:t xml:space="preserve">και </w:t>
      </w:r>
      <w:r w:rsidR="006761E6">
        <w:rPr>
          <w:sz w:val="24"/>
          <w:szCs w:val="24"/>
        </w:rPr>
        <w:t xml:space="preserve">ΒΓ </w:t>
      </w:r>
      <w:r w:rsidR="00F62AEB">
        <w:rPr>
          <w:sz w:val="24"/>
          <w:szCs w:val="24"/>
        </w:rPr>
        <w:t xml:space="preserve">ίσες </w:t>
      </w:r>
      <w:r w:rsidR="006761E6">
        <w:rPr>
          <w:sz w:val="24"/>
          <w:szCs w:val="24"/>
        </w:rPr>
        <w:t>(από τα δεδομένα), άρα θα είναι ίσα γιατί έχουν δυο ομόλογες πλευρές τους ίσες μία προς μία, οπότε θα είναι Α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="006761E6">
        <w:rPr>
          <w:sz w:val="24"/>
          <w:szCs w:val="24"/>
        </w:rPr>
        <w:t>Δ</w:t>
      </w:r>
      <w:r w:rsidR="006761E6" w:rsidRPr="006761E6">
        <w:rPr>
          <w:sz w:val="24"/>
          <w:szCs w:val="24"/>
        </w:rPr>
        <w:t xml:space="preserve"> = </w:t>
      </w:r>
      <w:r w:rsidR="006761E6">
        <w:rPr>
          <w:sz w:val="24"/>
          <w:szCs w:val="24"/>
        </w:rPr>
        <w:t>Γ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="006761E6">
        <w:rPr>
          <w:sz w:val="24"/>
          <w:szCs w:val="24"/>
        </w:rPr>
        <w:t>Β</w:t>
      </w:r>
      <w:r w:rsidR="00F62AEB">
        <w:rPr>
          <w:sz w:val="24"/>
          <w:szCs w:val="24"/>
        </w:rPr>
        <w:t xml:space="preserve"> (1)</w:t>
      </w:r>
      <w:r w:rsidR="006761E6">
        <w:rPr>
          <w:sz w:val="24"/>
          <w:szCs w:val="24"/>
        </w:rPr>
        <w:t xml:space="preserve">, ως γωνίες που βρίσκονται απέναντι από τις ίσες πλευρές ΑΔ και ΒΓ αντίστοιχα. </w:t>
      </w:r>
    </w:p>
    <w:p w14:paraId="4F5EFF2D" w14:textId="3B2AC1CF" w:rsidR="00E73AE7" w:rsidRPr="006761E6" w:rsidRDefault="00F62AEB" w:rsidP="00F62A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Άρα οι Α</w:t>
      </w:r>
      <w:r w:rsidR="00083DC2">
        <w:rPr>
          <w:sz w:val="24"/>
          <w:szCs w:val="24"/>
        </w:rPr>
        <w:t>Β</w:t>
      </w:r>
      <w:r>
        <w:rPr>
          <w:sz w:val="24"/>
          <w:szCs w:val="24"/>
        </w:rPr>
        <w:t xml:space="preserve"> και </w:t>
      </w:r>
      <w:r w:rsidR="00083DC2">
        <w:rPr>
          <w:sz w:val="24"/>
          <w:szCs w:val="24"/>
        </w:rPr>
        <w:t>Δ</w:t>
      </w:r>
      <w:r>
        <w:rPr>
          <w:sz w:val="24"/>
          <w:szCs w:val="24"/>
        </w:rPr>
        <w:t>Γ θα είναι παράλληλες, γιατί τεμνόμενες από την ΑΓ σχηματίζουν εντός εναλλάξ γωνίες ίσες.</w:t>
      </w:r>
      <w:r w:rsidR="005A6D79" w:rsidRPr="006761E6">
        <w:rPr>
          <w:sz w:val="24"/>
          <w:szCs w:val="24"/>
        </w:rPr>
        <w:tab/>
      </w:r>
      <w:r w:rsidR="00ED3F87" w:rsidRPr="006761E6">
        <w:rPr>
          <w:sz w:val="24"/>
          <w:szCs w:val="24"/>
        </w:rPr>
        <w:t xml:space="preserve">             </w:t>
      </w:r>
    </w:p>
    <w:p w14:paraId="0A70423C" w14:textId="12919814" w:rsidR="00FA5AB6" w:rsidRPr="001A4759" w:rsidRDefault="00DC5E75" w:rsidP="00A06485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0D715A">
        <w:rPr>
          <w:b/>
          <w:bCs/>
          <w:sz w:val="24"/>
          <w:szCs w:val="24"/>
        </w:rPr>
        <w:t>β</w:t>
      </w:r>
      <w:r w:rsidR="00E73AE7" w:rsidRPr="000D715A">
        <w:rPr>
          <w:b/>
          <w:bCs/>
          <w:sz w:val="24"/>
          <w:szCs w:val="24"/>
        </w:rPr>
        <w:t>)</w:t>
      </w:r>
      <w:r w:rsidR="00FA5AB6" w:rsidRPr="001A4759">
        <w:rPr>
          <w:sz w:val="24"/>
          <w:szCs w:val="24"/>
        </w:rPr>
        <w:t xml:space="preserve"> </w:t>
      </w:r>
      <w:r w:rsidR="00F62AEB">
        <w:rPr>
          <w:sz w:val="24"/>
          <w:szCs w:val="24"/>
        </w:rPr>
        <w:t>Επειδή τα τρίγωνα ΑΔΓ και ΑΒΓ είναι ίσα ορθογώνια, θα είναι Δ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="00F62AEB" w:rsidRPr="00F62AEB">
        <w:rPr>
          <w:sz w:val="24"/>
          <w:szCs w:val="24"/>
        </w:rPr>
        <w:t>Γ</w:t>
      </w:r>
      <w:r w:rsidR="00F62AEB">
        <w:rPr>
          <w:sz w:val="24"/>
          <w:szCs w:val="24"/>
        </w:rPr>
        <w:t>=</w:t>
      </w:r>
      <w:r w:rsidR="00F62AEB" w:rsidRPr="00F62AEB">
        <w:rPr>
          <w:sz w:val="24"/>
          <w:szCs w:val="24"/>
        </w:rPr>
        <w:t xml:space="preserve"> </w:t>
      </w:r>
      <w:r w:rsidR="00F62AEB">
        <w:rPr>
          <w:sz w:val="24"/>
          <w:szCs w:val="24"/>
        </w:rPr>
        <w:t>Β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="00F62AEB">
        <w:rPr>
          <w:sz w:val="24"/>
          <w:szCs w:val="24"/>
        </w:rPr>
        <w:t>Α, ως συμπληρωματικές γωνίες των ίσων γωνιών Α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="00F62AEB">
        <w:rPr>
          <w:sz w:val="24"/>
          <w:szCs w:val="24"/>
        </w:rPr>
        <w:t>Δ</w:t>
      </w:r>
      <w:r w:rsidR="00F62AEB" w:rsidRPr="006761E6">
        <w:rPr>
          <w:sz w:val="24"/>
          <w:szCs w:val="24"/>
        </w:rPr>
        <w:t xml:space="preserve"> </w:t>
      </w:r>
      <w:r w:rsidR="00F62AEB">
        <w:rPr>
          <w:sz w:val="24"/>
          <w:szCs w:val="24"/>
        </w:rPr>
        <w:t>και</w:t>
      </w:r>
      <w:r w:rsidR="00F62AEB" w:rsidRPr="006761E6">
        <w:rPr>
          <w:sz w:val="24"/>
          <w:szCs w:val="24"/>
        </w:rPr>
        <w:t xml:space="preserve"> </w:t>
      </w:r>
      <w:r w:rsidR="00F62AEB">
        <w:rPr>
          <w:sz w:val="24"/>
          <w:szCs w:val="24"/>
        </w:rPr>
        <w:t>Γ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="00F62AEB">
        <w:rPr>
          <w:sz w:val="24"/>
          <w:szCs w:val="24"/>
        </w:rPr>
        <w:t xml:space="preserve">Β (σχέση (1)). </w:t>
      </w:r>
    </w:p>
    <w:p w14:paraId="02465060" w14:textId="77777777" w:rsidR="00083DC2" w:rsidRDefault="00F62AEB" w:rsidP="00F62A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Άρα οι ΔΓ και ΑΒ θα είναι παράλληλες, γιατί τεμνόμενες από την ΑΓ σχηματίζουν εντός εναλλάξ γωνίες ίσες.</w:t>
      </w:r>
    </w:p>
    <w:p w14:paraId="27652A4B" w14:textId="2481CE26" w:rsidR="00AF219C" w:rsidRDefault="00083DC2" w:rsidP="00F62A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Επομένως το τετράπλευρο ΑΒΓΔ θα είναι παραλληλόγραμμο, γιατί έχει τις απέναντι πλευρές του παράλληλες και με γωνία </w:t>
      </w:r>
      <w:r w:rsidRPr="00F62AEB">
        <w:rPr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Pr="00F62AEB">
        <w:rPr>
          <w:sz w:val="24"/>
          <w:szCs w:val="24"/>
        </w:rPr>
        <w:t>Γ</w:t>
      </w:r>
      <w:r>
        <w:rPr>
          <w:sz w:val="24"/>
          <w:szCs w:val="24"/>
        </w:rPr>
        <w:t xml:space="preserve"> ορθή,</w:t>
      </w:r>
      <w:r w:rsidR="00CC426A">
        <w:rPr>
          <w:sz w:val="24"/>
          <w:szCs w:val="24"/>
        </w:rPr>
        <w:t xml:space="preserve"> άρα</w:t>
      </w:r>
      <w:r>
        <w:rPr>
          <w:sz w:val="24"/>
          <w:szCs w:val="24"/>
        </w:rPr>
        <w:t xml:space="preserve"> θα είναι και ορθογώνιο. </w:t>
      </w:r>
    </w:p>
    <w:p w14:paraId="705C57A0" w14:textId="3CC99C36" w:rsidR="00F532DD" w:rsidRDefault="00AF219C" w:rsidP="00F532DD">
      <w:pPr>
        <w:spacing w:line="360" w:lineRule="auto"/>
        <w:jc w:val="both"/>
        <w:rPr>
          <w:sz w:val="24"/>
          <w:szCs w:val="24"/>
        </w:rPr>
      </w:pPr>
      <w:r w:rsidRPr="000D715A">
        <w:rPr>
          <w:b/>
          <w:bCs/>
          <w:sz w:val="24"/>
          <w:szCs w:val="24"/>
        </w:rPr>
        <w:t>γ)</w:t>
      </w:r>
      <w:r>
        <w:rPr>
          <w:sz w:val="24"/>
          <w:szCs w:val="24"/>
        </w:rPr>
        <w:t xml:space="preserve"> Τα ΑΓ και ΒΔ είναι διαγώνιοι του ορθογωνίου ΑΒΓΔ, οπότε θα διχοτομούνται. Επειδή η ΑΓ είναι διάμετρος του κύκλου οπότε το κέντρο Ο θα είναι το μέσο της και επειδή το μέσο τμήματος είναι μοναδικό, άρα το κέντρο Ο θα είναι το μέσο και της ΒΔ. Επομένως η ΒΔ είναι διάμετρος του κύκλου </w:t>
      </w:r>
      <w:r w:rsidR="00CC426A">
        <w:rPr>
          <w:sz w:val="24"/>
          <w:szCs w:val="24"/>
        </w:rPr>
        <w:t>κέντρου</w:t>
      </w:r>
      <w:r>
        <w:rPr>
          <w:sz w:val="24"/>
          <w:szCs w:val="24"/>
        </w:rPr>
        <w:t xml:space="preserve"> Ο. </w:t>
      </w:r>
    </w:p>
    <w:p w14:paraId="69E0FB19" w14:textId="2CD86C5F" w:rsidR="00AF219C" w:rsidRDefault="00AF219C" w:rsidP="00F62AEB">
      <w:pPr>
        <w:spacing w:line="360" w:lineRule="auto"/>
        <w:jc w:val="both"/>
        <w:rPr>
          <w:sz w:val="24"/>
          <w:szCs w:val="24"/>
        </w:rPr>
      </w:pPr>
      <w:r w:rsidRPr="000D715A">
        <w:rPr>
          <w:b/>
          <w:bCs/>
          <w:sz w:val="24"/>
          <w:szCs w:val="24"/>
        </w:rPr>
        <w:t>δ)</w:t>
      </w:r>
      <w:r>
        <w:rPr>
          <w:sz w:val="24"/>
          <w:szCs w:val="24"/>
        </w:rPr>
        <w:t xml:space="preserve"> </w:t>
      </w:r>
      <w:r w:rsidR="00F532DD">
        <w:rPr>
          <w:sz w:val="24"/>
          <w:szCs w:val="24"/>
        </w:rPr>
        <w:t xml:space="preserve">Το τρίγωνο ΟΔΓ είναι ισοσκελές, αφού ΟΔ = ΟΓ ως ακτίνες του κύκλου </w:t>
      </w:r>
      <w:r w:rsidR="009865E0">
        <w:rPr>
          <w:sz w:val="24"/>
          <w:szCs w:val="24"/>
        </w:rPr>
        <w:t xml:space="preserve">(η διάμετρος ΒΔ του ορθογωνίου ΑΒΓΔ διέρχεται από το κέντρο Ο του κύκλου) </w:t>
      </w:r>
      <w:r w:rsidR="00F532DD">
        <w:rPr>
          <w:sz w:val="24"/>
          <w:szCs w:val="24"/>
        </w:rPr>
        <w:t xml:space="preserve">και επειδή το Κ είναι το μέσο του ΔΓ από τα δεδομένα, η ΟΚ θα είναι διάμεσος στη βάση ΔΓ του ισοσκελούς τριγώνου, οπότε θα είναι και ύψος, δηλαδή το τμήμα ΟΚ είναι κάθετο στο μέσο της χορδής ΔΓ, </w:t>
      </w:r>
      <w:r w:rsidR="00512759">
        <w:rPr>
          <w:sz w:val="24"/>
          <w:szCs w:val="24"/>
        </w:rPr>
        <w:t xml:space="preserve">οπότε </w:t>
      </w:r>
      <w:r w:rsidR="00512759" w:rsidRPr="00512759">
        <w:rPr>
          <w:sz w:val="24"/>
          <w:szCs w:val="24"/>
        </w:rPr>
        <w:t>Ο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Κ</m:t>
            </m:r>
          </m:e>
        </m:acc>
      </m:oMath>
      <w:r w:rsidR="00512759" w:rsidRPr="00512759">
        <w:rPr>
          <w:sz w:val="24"/>
          <w:szCs w:val="24"/>
        </w:rPr>
        <w:t>Γ</w:t>
      </w:r>
      <w:r w:rsidR="00512759">
        <w:rPr>
          <w:sz w:val="24"/>
          <w:szCs w:val="24"/>
        </w:rPr>
        <w:t xml:space="preserve"> = 90</w:t>
      </w:r>
      <w:r w:rsidR="00512759">
        <w:rPr>
          <w:sz w:val="24"/>
          <w:szCs w:val="24"/>
          <w:vertAlign w:val="superscript"/>
        </w:rPr>
        <w:t>0</w:t>
      </w:r>
      <w:r w:rsidR="00512759">
        <w:rPr>
          <w:sz w:val="24"/>
          <w:szCs w:val="24"/>
        </w:rPr>
        <w:t xml:space="preserve">. </w:t>
      </w:r>
      <w:r w:rsidR="00F532DD">
        <w:rPr>
          <w:sz w:val="24"/>
          <w:szCs w:val="24"/>
        </w:rPr>
        <w:t xml:space="preserve"> </w:t>
      </w:r>
      <w:r w:rsidR="00512759">
        <w:rPr>
          <w:sz w:val="24"/>
          <w:szCs w:val="24"/>
        </w:rPr>
        <w:t xml:space="preserve">Όμοια αποδεικνύεται ότι και το τμήμα ΟΚ είναι κάθετο στο μέσο της χορδής ΒΓ, οπότε </w:t>
      </w:r>
      <w:r w:rsidR="00512759" w:rsidRPr="00512759">
        <w:rPr>
          <w:sz w:val="24"/>
          <w:szCs w:val="24"/>
        </w:rPr>
        <w:t>Ο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</m:acc>
      </m:oMath>
      <w:r w:rsidR="00512759" w:rsidRPr="00512759">
        <w:rPr>
          <w:sz w:val="24"/>
          <w:szCs w:val="24"/>
        </w:rPr>
        <w:t>Γ</w:t>
      </w:r>
      <w:r w:rsidR="00512759">
        <w:rPr>
          <w:sz w:val="24"/>
          <w:szCs w:val="24"/>
        </w:rPr>
        <w:t xml:space="preserve"> = 90</w:t>
      </w:r>
      <w:r w:rsidR="00512759">
        <w:rPr>
          <w:sz w:val="24"/>
          <w:szCs w:val="24"/>
          <w:vertAlign w:val="superscript"/>
        </w:rPr>
        <w:t>0</w:t>
      </w:r>
      <w:r w:rsidR="00512759">
        <w:rPr>
          <w:sz w:val="24"/>
          <w:szCs w:val="24"/>
        </w:rPr>
        <w:t>. Επειδή το τετράπλευρο ΑΒΓΔ είναι ορθογώνιο (από β) ερώτημα) θα είναι Β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="00512759">
        <w:rPr>
          <w:sz w:val="24"/>
          <w:szCs w:val="24"/>
        </w:rPr>
        <w:t>Δ = 90</w:t>
      </w:r>
      <w:r w:rsidR="00512759">
        <w:rPr>
          <w:sz w:val="24"/>
          <w:szCs w:val="24"/>
          <w:vertAlign w:val="superscript"/>
        </w:rPr>
        <w:t>0</w:t>
      </w:r>
      <w:r w:rsidR="00512759">
        <w:rPr>
          <w:sz w:val="24"/>
          <w:szCs w:val="24"/>
        </w:rPr>
        <w:t xml:space="preserve">. </w:t>
      </w:r>
    </w:p>
    <w:p w14:paraId="3AD405B9" w14:textId="25CCBC6F" w:rsidR="00094A65" w:rsidRDefault="00CC426A" w:rsidP="000D71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Συνεπώς</w:t>
      </w:r>
      <w:r w:rsidR="00512759">
        <w:rPr>
          <w:sz w:val="24"/>
          <w:szCs w:val="24"/>
        </w:rPr>
        <w:t xml:space="preserve"> το τετράπλευρο ΟΚΓΛ έχει τρεις ορθές γωνίες, </w:t>
      </w:r>
      <w:r>
        <w:rPr>
          <w:sz w:val="24"/>
          <w:szCs w:val="24"/>
        </w:rPr>
        <w:t xml:space="preserve">άρα </w:t>
      </w:r>
      <w:r w:rsidR="00512759">
        <w:rPr>
          <w:sz w:val="24"/>
          <w:szCs w:val="24"/>
        </w:rPr>
        <w:t>θα είναι ορθογώνιο.</w:t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61BC" w14:textId="77777777" w:rsidR="007F63EC" w:rsidRDefault="007F63EC" w:rsidP="005E6BE2">
      <w:r>
        <w:separator/>
      </w:r>
    </w:p>
  </w:endnote>
  <w:endnote w:type="continuationSeparator" w:id="0">
    <w:p w14:paraId="2A2DF590" w14:textId="77777777" w:rsidR="007F63EC" w:rsidRDefault="007F63E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971A" w14:textId="77777777" w:rsidR="007F63EC" w:rsidRDefault="007F63EC" w:rsidP="005E6BE2">
      <w:r>
        <w:separator/>
      </w:r>
    </w:p>
  </w:footnote>
  <w:footnote w:type="continuationSeparator" w:id="0">
    <w:p w14:paraId="1DF6E1C6" w14:textId="77777777" w:rsidR="007F63EC" w:rsidRDefault="007F63E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301678">
    <w:abstractNumId w:val="3"/>
  </w:num>
  <w:num w:numId="2" w16cid:durableId="1500343460">
    <w:abstractNumId w:val="2"/>
  </w:num>
  <w:num w:numId="3" w16cid:durableId="774784496">
    <w:abstractNumId w:val="0"/>
  </w:num>
  <w:num w:numId="4" w16cid:durableId="263344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7A"/>
    <w:rsid w:val="00064174"/>
    <w:rsid w:val="00083DC2"/>
    <w:rsid w:val="00094A65"/>
    <w:rsid w:val="000D715A"/>
    <w:rsid w:val="000F26B8"/>
    <w:rsid w:val="000F353F"/>
    <w:rsid w:val="00105218"/>
    <w:rsid w:val="001A4759"/>
    <w:rsid w:val="001E7E63"/>
    <w:rsid w:val="00223546"/>
    <w:rsid w:val="002878A9"/>
    <w:rsid w:val="002E370F"/>
    <w:rsid w:val="0038027A"/>
    <w:rsid w:val="00512759"/>
    <w:rsid w:val="005368EE"/>
    <w:rsid w:val="00572722"/>
    <w:rsid w:val="005A6D79"/>
    <w:rsid w:val="005C33E6"/>
    <w:rsid w:val="005E6BE2"/>
    <w:rsid w:val="006332F7"/>
    <w:rsid w:val="006761E6"/>
    <w:rsid w:val="0075669D"/>
    <w:rsid w:val="007B2B90"/>
    <w:rsid w:val="007F63EC"/>
    <w:rsid w:val="00817B49"/>
    <w:rsid w:val="008F6B15"/>
    <w:rsid w:val="00941EA0"/>
    <w:rsid w:val="00970FB2"/>
    <w:rsid w:val="009865E0"/>
    <w:rsid w:val="00990B49"/>
    <w:rsid w:val="009B0BA6"/>
    <w:rsid w:val="009B7786"/>
    <w:rsid w:val="00A06485"/>
    <w:rsid w:val="00AA5C99"/>
    <w:rsid w:val="00AF219C"/>
    <w:rsid w:val="00B0089C"/>
    <w:rsid w:val="00B60D42"/>
    <w:rsid w:val="00C17198"/>
    <w:rsid w:val="00C45669"/>
    <w:rsid w:val="00C53625"/>
    <w:rsid w:val="00C6709E"/>
    <w:rsid w:val="00CC426A"/>
    <w:rsid w:val="00CD1A57"/>
    <w:rsid w:val="00D32A7F"/>
    <w:rsid w:val="00DC5E75"/>
    <w:rsid w:val="00E21585"/>
    <w:rsid w:val="00E73AE7"/>
    <w:rsid w:val="00ED3F87"/>
    <w:rsid w:val="00F532DD"/>
    <w:rsid w:val="00F62AEB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AF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4_1848\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4_lysi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2023-01-03T11:46:00Z</dcterms:created>
  <dcterms:modified xsi:type="dcterms:W3CDTF">2023-02-28T17:52:00Z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