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31C8" w14:textId="2210631C" w:rsidR="003C6629" w:rsidRPr="00A5357B" w:rsidRDefault="003C6629" w:rsidP="00CF028F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A5357B" w:rsidRPr="00A5357B">
        <w:rPr>
          <w:rFonts w:asciiTheme="minorHAnsi" w:hAnsiTheme="minorHAnsi"/>
          <w:b/>
          <w:sz w:val="22"/>
          <w:szCs w:val="22"/>
        </w:rPr>
        <w:t>4</w:t>
      </w:r>
    </w:p>
    <w:p w14:paraId="63B79747" w14:textId="30D4ECE7" w:rsidR="00195A03" w:rsidRPr="00195A03" w:rsidRDefault="001A7C8B" w:rsidP="0069101E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ja-JP"/>
        </w:rPr>
        <w:drawing>
          <wp:anchor distT="0" distB="0" distL="114300" distR="114300" simplePos="0" relativeHeight="251658752" behindDoc="0" locked="0" layoutInCell="1" allowOverlap="1" wp14:anchorId="25C9D81D" wp14:editId="076AFFA3">
            <wp:simplePos x="0" y="0"/>
            <wp:positionH relativeFrom="column">
              <wp:posOffset>4985385</wp:posOffset>
            </wp:positionH>
            <wp:positionV relativeFrom="paragraph">
              <wp:posOffset>6985</wp:posOffset>
            </wp:positionV>
            <wp:extent cx="1135380" cy="1714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C2">
        <w:rPr>
          <w:rFonts w:asciiTheme="minorHAnsi" w:hAnsiTheme="minorHAnsi"/>
          <w:sz w:val="22"/>
          <w:szCs w:val="22"/>
        </w:rPr>
        <w:t>Μ</w:t>
      </w:r>
      <w:r w:rsidR="00195A03">
        <w:rPr>
          <w:rFonts w:asciiTheme="minorHAnsi" w:hAnsiTheme="minorHAnsi"/>
          <w:sz w:val="22"/>
          <w:szCs w:val="22"/>
        </w:rPr>
        <w:t xml:space="preserve">ικρή σφαίρα μάζας </w:t>
      </w:r>
      <m:oMath>
        <m:r>
          <w:rPr>
            <w:rFonts w:ascii="Cambria Math" w:hAnsi="Cambria Math"/>
            <w:sz w:val="22"/>
            <w:szCs w:val="22"/>
          </w:rPr>
          <m:t xml:space="preserve">m=200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</m:oMath>
      <w:r w:rsidR="00195A03" w:rsidRPr="00195A03">
        <w:rPr>
          <w:rFonts w:asciiTheme="minorHAnsi" w:hAnsiTheme="minorHAnsi"/>
          <w:sz w:val="22"/>
          <w:szCs w:val="22"/>
        </w:rPr>
        <w:t>,</w:t>
      </w:r>
      <w:r w:rsidR="000752C2">
        <w:rPr>
          <w:rFonts w:asciiTheme="minorHAnsi" w:hAnsiTheme="minorHAnsi"/>
          <w:sz w:val="22"/>
          <w:szCs w:val="22"/>
        </w:rPr>
        <w:t xml:space="preserve"> κρέμεται</w:t>
      </w:r>
      <w:r w:rsidR="00195A03">
        <w:rPr>
          <w:rFonts w:asciiTheme="minorHAnsi" w:hAnsiTheme="minorHAnsi"/>
          <w:sz w:val="22"/>
          <w:szCs w:val="22"/>
        </w:rPr>
        <w:t xml:space="preserve"> στο κάτω άκρο κατακόρυφου ιδανικού ελατηρίου σταθεράς </w:t>
      </w:r>
      <m:oMath>
        <m:r>
          <w:rPr>
            <w:rFonts w:ascii="Cambria Math" w:hAnsi="Cambria Math"/>
            <w:sz w:val="22"/>
            <w:szCs w:val="22"/>
          </w:rPr>
          <m:t xml:space="preserve">k=20 </m:t>
        </m:r>
        <m:f>
          <m:f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</m:oMath>
      <w:r w:rsidR="00195A03" w:rsidRPr="00195A03">
        <w:rPr>
          <w:rFonts w:asciiTheme="minorHAnsi" w:hAnsiTheme="minorHAnsi"/>
          <w:iCs/>
          <w:sz w:val="22"/>
          <w:szCs w:val="22"/>
        </w:rPr>
        <w:t xml:space="preserve">, </w:t>
      </w:r>
      <w:r w:rsidR="00195A03">
        <w:rPr>
          <w:rFonts w:asciiTheme="minorHAnsi" w:hAnsiTheme="minorHAnsi"/>
          <w:iCs/>
          <w:sz w:val="22"/>
          <w:szCs w:val="22"/>
        </w:rPr>
        <w:t xml:space="preserve">το πάνω άκρο του οποίου </w:t>
      </w:r>
      <w:r w:rsidR="000752C2">
        <w:rPr>
          <w:rFonts w:asciiTheme="minorHAnsi" w:hAnsiTheme="minorHAnsi"/>
          <w:iCs/>
          <w:sz w:val="22"/>
          <w:szCs w:val="22"/>
        </w:rPr>
        <w:t>έχει στερεωθεί</w:t>
      </w:r>
      <w:r w:rsidR="00195A03">
        <w:rPr>
          <w:rFonts w:asciiTheme="minorHAnsi" w:hAnsiTheme="minorHAnsi"/>
          <w:iCs/>
          <w:sz w:val="22"/>
          <w:szCs w:val="22"/>
        </w:rPr>
        <w:t xml:space="preserve"> σε ακλόνητο σημείο-οροφή, όπως στο σχήμα και το σύστημα αρχικά ισορροπεί ακίνητο. </w:t>
      </w:r>
      <w:r w:rsidR="00195A03">
        <w:rPr>
          <w:rFonts w:asciiTheme="minorHAnsi" w:hAnsiTheme="minorHAnsi"/>
          <w:sz w:val="22"/>
          <w:szCs w:val="22"/>
        </w:rPr>
        <w:t xml:space="preserve">Εκτρέπουμε το σύστημα από την αρχική θέση ισορροπίας του, μετατοπίζοντας αργά τη σφαίρα, κατακόρυφα προς τα κάτω κατά </w:t>
      </w:r>
      <m:oMath>
        <m:r>
          <w:rPr>
            <w:rFonts w:ascii="Cambria Math" w:hAnsi="Cambria Math"/>
            <w:sz w:val="22"/>
            <w:szCs w:val="22"/>
          </w:rPr>
          <m:t xml:space="preserve">20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cm</m:t>
        </m:r>
      </m:oMath>
      <w:r w:rsidR="00195A03" w:rsidRPr="00195A03">
        <w:rPr>
          <w:rFonts w:asciiTheme="minorHAnsi" w:hAnsiTheme="minorHAnsi"/>
          <w:iCs/>
          <w:sz w:val="22"/>
          <w:szCs w:val="22"/>
        </w:rPr>
        <w:t xml:space="preserve"> </w:t>
      </w:r>
      <w:r w:rsidR="00195A03">
        <w:rPr>
          <w:rFonts w:asciiTheme="minorHAnsi" w:hAnsiTheme="minorHAnsi"/>
          <w:iCs/>
          <w:sz w:val="22"/>
          <w:szCs w:val="22"/>
        </w:rPr>
        <w:t>και από τη θέση αυτή την αφήνουμε ελεύθερη</w:t>
      </w:r>
      <w:r>
        <w:rPr>
          <w:rFonts w:asciiTheme="minorHAnsi" w:hAnsiTheme="minorHAnsi"/>
          <w:iCs/>
          <w:sz w:val="22"/>
          <w:szCs w:val="22"/>
        </w:rPr>
        <w:t xml:space="preserve"> τη</w:t>
      </w:r>
      <w:r w:rsidR="00EA155E">
        <w:rPr>
          <w:rFonts w:asciiTheme="minorHAnsi" w:hAnsiTheme="minorHAnsi"/>
          <w:iCs/>
          <w:sz w:val="22"/>
          <w:szCs w:val="22"/>
        </w:rPr>
        <w:t xml:space="preserve"> χρονική</w:t>
      </w:r>
      <w:r>
        <w:rPr>
          <w:rFonts w:asciiTheme="minorHAnsi" w:hAnsiTheme="minorHAnsi"/>
          <w:iCs/>
          <w:sz w:val="22"/>
          <w:szCs w:val="22"/>
        </w:rPr>
        <w:t xml:space="preserve"> στιγμή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=0</m:t>
        </m:r>
      </m:oMath>
      <w:r w:rsidR="00195A03">
        <w:rPr>
          <w:rFonts w:asciiTheme="minorHAnsi" w:hAnsiTheme="minorHAnsi"/>
          <w:iCs/>
          <w:sz w:val="22"/>
          <w:szCs w:val="22"/>
        </w:rPr>
        <w:t xml:space="preserve"> να εκτελεί ταλαντώσεις. </w:t>
      </w:r>
    </w:p>
    <w:p w14:paraId="28378818" w14:textId="2DED3C7E" w:rsidR="003625EF" w:rsidRPr="00195A03" w:rsidRDefault="00A5357B" w:rsidP="0069101E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="00467985" w:rsidRPr="00023886">
        <w:rPr>
          <w:rFonts w:asciiTheme="minorHAnsi" w:hAnsiTheme="minorHAnsi"/>
          <w:b/>
          <w:sz w:val="22"/>
          <w:szCs w:val="22"/>
        </w:rPr>
        <w:t>.1</w:t>
      </w:r>
      <w:r w:rsidR="00467985">
        <w:rPr>
          <w:rFonts w:asciiTheme="minorHAnsi" w:hAnsiTheme="minorHAnsi"/>
          <w:b/>
          <w:sz w:val="22"/>
          <w:szCs w:val="22"/>
        </w:rPr>
        <w:t>.</w:t>
      </w:r>
      <w:r w:rsidR="00467985" w:rsidRPr="003625EF">
        <w:rPr>
          <w:rFonts w:asciiTheme="minorHAnsi" w:hAnsiTheme="minorHAnsi"/>
          <w:sz w:val="22"/>
          <w:szCs w:val="22"/>
        </w:rPr>
        <w:t xml:space="preserve"> </w:t>
      </w:r>
      <w:r w:rsidR="00195A03">
        <w:rPr>
          <w:rFonts w:asciiTheme="minorHAnsi" w:hAnsiTheme="minorHAnsi"/>
          <w:sz w:val="22"/>
          <w:szCs w:val="22"/>
        </w:rPr>
        <w:t xml:space="preserve">Αν υποθέσουμε ότι κατά την κίνηση της σφαίρας </w:t>
      </w:r>
      <w:r w:rsidR="00C35CB5">
        <w:rPr>
          <w:rFonts w:asciiTheme="minorHAnsi" w:hAnsiTheme="minorHAnsi"/>
          <w:sz w:val="22"/>
          <w:szCs w:val="22"/>
        </w:rPr>
        <w:t>θα μπορούσαμε</w:t>
      </w:r>
      <w:r w:rsidR="00195A03">
        <w:rPr>
          <w:rFonts w:asciiTheme="minorHAnsi" w:hAnsiTheme="minorHAnsi"/>
          <w:sz w:val="22"/>
          <w:szCs w:val="22"/>
        </w:rPr>
        <w:t xml:space="preserve"> να αγνοήσουμε τις δυνάμεις αντίστασης του αέρα πάνω της, να αποδείξετε ότι </w:t>
      </w:r>
      <w:r w:rsidR="00C35CB5">
        <w:rPr>
          <w:rFonts w:asciiTheme="minorHAnsi" w:hAnsiTheme="minorHAnsi"/>
          <w:sz w:val="22"/>
          <w:szCs w:val="22"/>
        </w:rPr>
        <w:t>θα εκτελούσε</w:t>
      </w:r>
      <w:r w:rsidR="00195A03">
        <w:rPr>
          <w:rFonts w:asciiTheme="minorHAnsi" w:hAnsiTheme="minorHAnsi"/>
          <w:sz w:val="22"/>
          <w:szCs w:val="22"/>
        </w:rPr>
        <w:t xml:space="preserve"> απλή αρμονική ταλάντωση και να υπολογίσετε την περίοδο </w:t>
      </w:r>
      <w:r w:rsidR="00C35CB5">
        <w:rPr>
          <w:rFonts w:asciiTheme="minorHAnsi" w:hAnsiTheme="minorHAnsi"/>
          <w:sz w:val="22"/>
          <w:szCs w:val="22"/>
        </w:rPr>
        <w:t>και την ενέργεια ταλάντωσης.</w:t>
      </w:r>
    </w:p>
    <w:p w14:paraId="756CC979" w14:textId="272852C9" w:rsidR="003625EF" w:rsidRDefault="003625EF" w:rsidP="0069101E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C35CB5">
        <w:rPr>
          <w:rFonts w:asciiTheme="minorHAnsi" w:hAnsiTheme="minorHAnsi"/>
          <w:b/>
          <w:i/>
          <w:sz w:val="22"/>
          <w:szCs w:val="22"/>
        </w:rPr>
        <w:t>6</w:t>
      </w:r>
    </w:p>
    <w:p w14:paraId="507E3AF1" w14:textId="19A245E1" w:rsidR="00C35CB5" w:rsidRPr="00EA155E" w:rsidRDefault="00E00084" w:rsidP="00C35CB5">
      <w:pPr>
        <w:spacing w:line="360" w:lineRule="auto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Ως πιο ρεαλιστική προσέγγιση, μελετάμε την κίνηση της σφαίρας συνυπολογίζοντας την αντίσταση του αέρα, που </w:t>
      </w:r>
      <w:r w:rsidR="00C35CB5">
        <w:rPr>
          <w:rFonts w:asciiTheme="minorHAnsi" w:hAnsiTheme="minorHAnsi"/>
          <w:bCs/>
          <w:iCs/>
          <w:sz w:val="22"/>
          <w:szCs w:val="22"/>
        </w:rPr>
        <w:t xml:space="preserve">είναι της μορφής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αντ</m:t>
            </m:r>
          </m:sub>
        </m:sSub>
        <m:r>
          <w:rPr>
            <w:rFonts w:ascii="Cambria Math" w:hAnsi="Cambria Math"/>
            <w:sz w:val="22"/>
            <w:szCs w:val="22"/>
          </w:rPr>
          <m:t>=-</m:t>
        </m:r>
        <m:r>
          <w:rPr>
            <w:rFonts w:ascii="Cambria Math" w:hAnsi="Cambria Math"/>
            <w:sz w:val="22"/>
            <w:szCs w:val="22"/>
            <w:lang w:val="en-US"/>
          </w:rPr>
          <m:t>b</m:t>
        </m:r>
        <m:r>
          <w:rPr>
            <w:rFonts w:ascii="Cambria Math" w:hAnsi="Cambria Math"/>
            <w:sz w:val="22"/>
            <w:szCs w:val="22"/>
          </w:rPr>
          <m:t>∙υ</m:t>
        </m:r>
      </m:oMath>
      <w:r w:rsidR="00C35CB5">
        <w:rPr>
          <w:rFonts w:asciiTheme="minorHAnsi" w:hAnsiTheme="minorHAnsi"/>
          <w:bCs/>
          <w:iCs/>
          <w:sz w:val="22"/>
          <w:szCs w:val="22"/>
        </w:rPr>
        <w:t xml:space="preserve">, όπου </w:t>
      </w:r>
      <m:oMath>
        <m:r>
          <w:rPr>
            <w:rFonts w:ascii="Cambria Math" w:hAnsi="Cambria Math"/>
            <w:sz w:val="22"/>
            <w:szCs w:val="22"/>
            <w:lang w:val="en-US"/>
          </w:rPr>
          <m:t>b</m:t>
        </m:r>
      </m:oMath>
      <w:r w:rsidR="00C35CB5">
        <w:rPr>
          <w:rFonts w:asciiTheme="minorHAnsi" w:hAnsiTheme="minorHAnsi"/>
          <w:bCs/>
          <w:iCs/>
          <w:sz w:val="22"/>
          <w:szCs w:val="22"/>
        </w:rPr>
        <w:t xml:space="preserve"> η σταθερά απόσβεσης και </w:t>
      </w:r>
      <m:oMath>
        <m:r>
          <w:rPr>
            <w:rFonts w:ascii="Cambria Math" w:hAnsi="Cambria Math"/>
            <w:sz w:val="22"/>
            <w:szCs w:val="22"/>
          </w:rPr>
          <m:t>υ</m:t>
        </m:r>
      </m:oMath>
      <w:r w:rsidR="00C35CB5">
        <w:rPr>
          <w:rFonts w:asciiTheme="minorHAnsi" w:hAnsiTheme="minorHAnsi"/>
          <w:bCs/>
          <w:iCs/>
          <w:sz w:val="22"/>
          <w:szCs w:val="22"/>
        </w:rPr>
        <w:t xml:space="preserve"> η στιγμιαία ταχύτητα της σφαίρας. Έτσι η σφαίρα εκτελεί φθίνουσα ταλάντωση με πλάτος που μειώνεται με το χρόνο σύμφωνα με τη σχέση </w:t>
      </w:r>
      <m:oMath>
        <m:r>
          <w:rPr>
            <w:rFonts w:ascii="Cambria Math" w:hAnsi="Cambria Math"/>
            <w:sz w:val="22"/>
            <w:szCs w:val="22"/>
          </w:rPr>
          <m:t>A=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-Λ∙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p>
        </m:sSup>
      </m:oMath>
      <w:r w:rsidR="00C35CB5" w:rsidRPr="00C35CB5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C35CB5">
        <w:rPr>
          <w:rFonts w:asciiTheme="minorHAnsi" w:hAnsiTheme="minorHAnsi"/>
          <w:bCs/>
          <w:iCs/>
          <w:sz w:val="22"/>
          <w:szCs w:val="22"/>
        </w:rPr>
        <w:t xml:space="preserve">Επειδή η σταθερά απόσβεσης </w:t>
      </w:r>
      <w:r w:rsidR="00C35CB5">
        <w:rPr>
          <w:rFonts w:asciiTheme="minorHAnsi" w:hAnsiTheme="minorHAnsi"/>
          <w:bCs/>
          <w:iCs/>
          <w:sz w:val="22"/>
          <w:szCs w:val="22"/>
          <w:lang w:val="en-US"/>
        </w:rPr>
        <w:t>b</w:t>
      </w:r>
      <w:r w:rsidR="00C35CB5" w:rsidRPr="00C35CB5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35CB5">
        <w:rPr>
          <w:rFonts w:asciiTheme="minorHAnsi" w:hAnsiTheme="minorHAnsi"/>
          <w:bCs/>
          <w:iCs/>
          <w:sz w:val="22"/>
          <w:szCs w:val="22"/>
        </w:rPr>
        <w:t>είναι αρκετά μικρή, μπορούμε να υποθέσουμε</w:t>
      </w:r>
      <w:r w:rsidR="006F2026">
        <w:rPr>
          <w:rFonts w:asciiTheme="minorHAnsi" w:hAnsiTheme="minorHAnsi"/>
          <w:bCs/>
          <w:iCs/>
          <w:sz w:val="22"/>
          <w:szCs w:val="22"/>
        </w:rPr>
        <w:t xml:space="preserve"> ότι η θέση ισορροπίας του συστήματος είναι σταθερή και συμπίπτει με την αρχική του θέση ισορροπίας, ότι η περίοδος της φθίνουσας είναι ίση με την περίοδο της αμείωτης ταλάντωσης που θα εκτελούσε το σύστημα, αν δεν υπήρχαν αντιστάσεις αέρα και ότι η ενέργεια ταλάντωσης μπορεί να υπολογίζεται </w:t>
      </w:r>
      <w:r w:rsidR="000752C2">
        <w:rPr>
          <w:rFonts w:asciiTheme="minorHAnsi" w:hAnsiTheme="minorHAnsi"/>
          <w:bCs/>
          <w:iCs/>
          <w:sz w:val="22"/>
          <w:szCs w:val="22"/>
        </w:rPr>
        <w:t xml:space="preserve">από τη σχέση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ταλ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∙</m:t>
        </m:r>
        <m:r>
          <w:rPr>
            <w:rFonts w:ascii="Cambria Math" w:hAnsi="Cambria Math"/>
            <w:sz w:val="22"/>
            <w:szCs w:val="22"/>
            <w:lang w:val="en-US"/>
          </w:rPr>
          <m:t>k</m:t>
        </m:r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6F2026" w:rsidRPr="006F2026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6F2026">
        <w:rPr>
          <w:rFonts w:asciiTheme="minorHAnsi" w:hAnsiTheme="minorHAnsi"/>
          <w:bCs/>
          <w:iCs/>
          <w:sz w:val="22"/>
          <w:szCs w:val="22"/>
        </w:rPr>
        <w:t xml:space="preserve">όπου </w:t>
      </w:r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</m:oMath>
      <w:r w:rsidR="006F2026">
        <w:rPr>
          <w:rFonts w:asciiTheme="minorHAnsi" w:hAnsiTheme="minorHAnsi"/>
          <w:bCs/>
          <w:iCs/>
          <w:sz w:val="22"/>
          <w:szCs w:val="22"/>
        </w:rPr>
        <w:t xml:space="preserve"> το πλάτος της. Δίνεται επίσης ότι για τη σταθερά </w:t>
      </w:r>
      <m:oMath>
        <m:r>
          <w:rPr>
            <w:rFonts w:ascii="Cambria Math" w:hAnsi="Cambria Math"/>
            <w:sz w:val="22"/>
            <w:szCs w:val="22"/>
          </w:rPr>
          <m:t>Λ</m:t>
        </m:r>
      </m:oMath>
      <w:r w:rsidR="006F2026">
        <w:rPr>
          <w:rFonts w:asciiTheme="minorHAnsi" w:hAnsiTheme="minorHAnsi"/>
          <w:bCs/>
          <w:iCs/>
          <w:sz w:val="22"/>
          <w:szCs w:val="22"/>
        </w:rPr>
        <w:t xml:space="preserve"> και τη σταθερά απόσβεσης </w:t>
      </w:r>
      <m:oMath>
        <m:r>
          <w:rPr>
            <w:rFonts w:ascii="Cambria Math" w:hAnsi="Cambria Math"/>
            <w:sz w:val="22"/>
            <w:szCs w:val="22"/>
            <w:lang w:val="en-US"/>
          </w:rPr>
          <m:t>b</m:t>
        </m:r>
      </m:oMath>
      <w:r w:rsidR="006F2026" w:rsidRPr="006F2026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6F2026">
        <w:rPr>
          <w:rFonts w:asciiTheme="minorHAnsi" w:hAnsiTheme="minorHAnsi"/>
          <w:bCs/>
          <w:iCs/>
          <w:sz w:val="22"/>
          <w:szCs w:val="22"/>
        </w:rPr>
        <w:t xml:space="preserve">ισχύει η σχέση </w:t>
      </w:r>
      <m:oMath>
        <m:r>
          <w:rPr>
            <w:rFonts w:ascii="Cambria Math" w:hAnsi="Cambria Math"/>
            <w:sz w:val="22"/>
            <w:szCs w:val="22"/>
          </w:rPr>
          <m:t>Λ=</m:t>
        </m:r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2∙m</m:t>
            </m:r>
          </m:den>
        </m:f>
      </m:oMath>
      <w:r w:rsidR="006F2026" w:rsidRPr="006F2026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6F2026">
        <w:rPr>
          <w:rFonts w:asciiTheme="minorHAnsi" w:hAnsiTheme="minorHAnsi"/>
          <w:bCs/>
          <w:iCs/>
          <w:sz w:val="22"/>
          <w:szCs w:val="22"/>
        </w:rPr>
        <w:t>Μετρήσαμε ότι το πλάτος της φθίνουσας ταλάντωσης, έγινε ίσο με το μισό του αρχικού της πλάτους</w:t>
      </w:r>
      <w:r w:rsidR="001A7C8B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EA155E">
        <w:rPr>
          <w:rFonts w:asciiTheme="minorHAnsi" w:hAnsiTheme="minorHAnsi"/>
          <w:bCs/>
          <w:iCs/>
          <w:sz w:val="22"/>
          <w:szCs w:val="22"/>
        </w:rPr>
        <w:t xml:space="preserve">τη </w:t>
      </w:r>
      <w:r w:rsidR="00E53377">
        <w:rPr>
          <w:rFonts w:asciiTheme="minorHAnsi" w:hAnsiTheme="minorHAnsi"/>
          <w:bCs/>
          <w:iCs/>
          <w:sz w:val="22"/>
          <w:szCs w:val="22"/>
        </w:rPr>
        <w:t xml:space="preserve">χρονική </w:t>
      </w:r>
      <w:r w:rsidR="00EA155E">
        <w:rPr>
          <w:rFonts w:asciiTheme="minorHAnsi" w:hAnsiTheme="minorHAnsi"/>
          <w:bCs/>
          <w:iCs/>
          <w:sz w:val="22"/>
          <w:szCs w:val="22"/>
        </w:rPr>
        <w:t>στιγμή</w:t>
      </w:r>
      <w:r w:rsidR="001A7C8B">
        <w:rPr>
          <w:rFonts w:asciiTheme="minorHAnsi" w:hAnsiTheme="minorHAnsi"/>
          <w:bCs/>
          <w:iCs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t=14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s</m:t>
        </m:r>
      </m:oMath>
      <w:r w:rsidR="001A7C8B" w:rsidRPr="001A7C8B">
        <w:rPr>
          <w:rFonts w:asciiTheme="minorHAnsi" w:hAnsiTheme="minorHAnsi"/>
          <w:bCs/>
          <w:sz w:val="22"/>
          <w:szCs w:val="22"/>
        </w:rPr>
        <w:t>.</w:t>
      </w:r>
    </w:p>
    <w:p w14:paraId="2FB9E7D8" w14:textId="4A2B2595" w:rsidR="00A5357B" w:rsidRPr="001A7C8B" w:rsidRDefault="00A5357B" w:rsidP="0069101E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2.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 w:rsidR="001A7C8B">
        <w:rPr>
          <w:rFonts w:asciiTheme="minorHAnsi" w:hAnsiTheme="minorHAnsi"/>
          <w:sz w:val="22"/>
          <w:szCs w:val="22"/>
        </w:rPr>
        <w:t xml:space="preserve">Να υπολογίσετε τη σταθερά απόσβεσης </w:t>
      </w:r>
      <m:oMath>
        <m:r>
          <w:rPr>
            <w:rFonts w:ascii="Cambria Math" w:hAnsi="Cambria Math"/>
            <w:sz w:val="22"/>
            <w:szCs w:val="22"/>
            <w:lang w:val="en-US"/>
          </w:rPr>
          <m:t>b</m:t>
        </m:r>
      </m:oMath>
      <w:r w:rsidR="001A7C8B">
        <w:rPr>
          <w:rFonts w:asciiTheme="minorHAnsi" w:hAnsiTheme="minorHAnsi"/>
          <w:sz w:val="22"/>
          <w:szCs w:val="22"/>
        </w:rPr>
        <w:t>.</w:t>
      </w:r>
    </w:p>
    <w:p w14:paraId="0A0028C8" w14:textId="43A5C53B" w:rsidR="00A5357B" w:rsidRPr="003625EF" w:rsidRDefault="00A5357B" w:rsidP="0069101E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1A7C8B">
        <w:rPr>
          <w:rFonts w:asciiTheme="minorHAnsi" w:hAnsiTheme="minorHAnsi"/>
          <w:b/>
          <w:i/>
          <w:sz w:val="22"/>
          <w:szCs w:val="22"/>
        </w:rPr>
        <w:t>6</w:t>
      </w:r>
    </w:p>
    <w:p w14:paraId="2669B6FF" w14:textId="7E93D470" w:rsidR="001A7C8B" w:rsidRPr="001A7C8B" w:rsidRDefault="001A7C8B" w:rsidP="0069101E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Αν υποθέσουμε ότι το σύστημα αυτό αποτελεί ένα κβαντικό ταλαντωτή (ταλαντωτή που η ενέργειά του μπορεί να πάρει μόνο διακριτές τιμές), να υπολογίσετε</w:t>
      </w:r>
      <w:r w:rsidRPr="001A7C8B">
        <w:rPr>
          <w:rFonts w:asciiTheme="minorHAnsi" w:hAnsiTheme="minorHAnsi"/>
          <w:bCs/>
          <w:sz w:val="22"/>
          <w:szCs w:val="22"/>
        </w:rPr>
        <w:t>:</w:t>
      </w:r>
    </w:p>
    <w:p w14:paraId="62A382F1" w14:textId="7958CB0D" w:rsidR="00A5357B" w:rsidRPr="001A7C8B" w:rsidRDefault="00A5357B" w:rsidP="0069101E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3.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 w:rsidR="001A7C8B">
        <w:rPr>
          <w:rFonts w:asciiTheme="minorHAnsi" w:hAnsiTheme="minorHAnsi"/>
          <w:sz w:val="22"/>
          <w:szCs w:val="22"/>
        </w:rPr>
        <w:t>το κβάντο ενέργειας αυτού του ταλαντωτή (το ενεργειακό διάστημα, μεταξύ δύο διαδοχικών επιτρεπόμενων ενεργειακών σταθμών του).</w:t>
      </w:r>
    </w:p>
    <w:p w14:paraId="35E35522" w14:textId="2F5D9E61" w:rsidR="00A5357B" w:rsidRPr="003625EF" w:rsidRDefault="00A5357B" w:rsidP="0069101E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EA155E">
        <w:rPr>
          <w:rFonts w:asciiTheme="minorHAnsi" w:hAnsiTheme="minorHAnsi"/>
          <w:b/>
          <w:i/>
          <w:sz w:val="22"/>
          <w:szCs w:val="22"/>
        </w:rPr>
        <w:t>6</w:t>
      </w:r>
    </w:p>
    <w:p w14:paraId="6CD0C36C" w14:textId="63A1A920" w:rsidR="00A5357B" w:rsidRPr="00EA155E" w:rsidRDefault="00A5357B" w:rsidP="0069101E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4.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 w:rsidR="00EA155E">
        <w:rPr>
          <w:rFonts w:asciiTheme="minorHAnsi" w:hAnsiTheme="minorHAnsi"/>
          <w:sz w:val="22"/>
          <w:szCs w:val="22"/>
        </w:rPr>
        <w:t xml:space="preserve">το πλήθος των ενεργειακών κβάντων που απέβαλε το σύστημα από την έναρξη των ταλαντώσεων, μέχρι τη στιγμή </w:t>
      </w:r>
      <m:oMath>
        <m:r>
          <w:rPr>
            <w:rFonts w:ascii="Cambria Math" w:hAnsi="Cambria Math"/>
            <w:sz w:val="22"/>
            <w:szCs w:val="22"/>
          </w:rPr>
          <m:t xml:space="preserve">t=14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s</m:t>
        </m:r>
      </m:oMath>
      <w:r w:rsidR="00EA155E">
        <w:rPr>
          <w:rFonts w:asciiTheme="minorHAnsi" w:hAnsiTheme="minorHAnsi"/>
          <w:bCs/>
          <w:sz w:val="22"/>
          <w:szCs w:val="22"/>
        </w:rPr>
        <w:t>. Με βάση τα αποτελέσματά σας, πιστεύετε ότι μπορούμε να εφαρμόσουμε την κβαντική θεωρία στο μακρόκοσμο</w:t>
      </w:r>
      <w:r w:rsidR="00EA155E" w:rsidRPr="00EA155E">
        <w:rPr>
          <w:rFonts w:asciiTheme="minorHAnsi" w:hAnsiTheme="minorHAnsi"/>
          <w:bCs/>
          <w:sz w:val="22"/>
          <w:szCs w:val="22"/>
        </w:rPr>
        <w:t>;</w:t>
      </w:r>
    </w:p>
    <w:p w14:paraId="1FE5E818" w14:textId="7ECBC2BA" w:rsidR="00A5357B" w:rsidRDefault="00A5357B" w:rsidP="0069101E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EA155E">
        <w:rPr>
          <w:rFonts w:asciiTheme="minorHAnsi" w:hAnsiTheme="minorHAnsi"/>
          <w:b/>
          <w:i/>
          <w:sz w:val="22"/>
          <w:szCs w:val="22"/>
        </w:rPr>
        <w:t>7</w:t>
      </w:r>
    </w:p>
    <w:p w14:paraId="68AC55C1" w14:textId="69A05691" w:rsidR="00656A11" w:rsidRPr="00E53377" w:rsidRDefault="0074300F" w:rsidP="00E53377">
      <w:pPr>
        <w:spacing w:line="360" w:lineRule="auto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Να υποθέσετε</w:t>
      </w:r>
      <w:r w:rsidR="00E53377" w:rsidRPr="00E5337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53377">
        <w:rPr>
          <w:rFonts w:asciiTheme="minorHAnsi" w:hAnsiTheme="minorHAnsi"/>
          <w:bCs/>
          <w:iCs/>
          <w:sz w:val="22"/>
          <w:szCs w:val="22"/>
        </w:rPr>
        <w:t xml:space="preserve">κατά προσέγγιση ότι </w:t>
      </w:r>
      <w:r w:rsidR="00E53377">
        <w:rPr>
          <w:rFonts w:asciiTheme="minorHAnsi" w:hAnsiTheme="minorHAnsi"/>
          <w:bCs/>
          <w:sz w:val="22"/>
          <w:szCs w:val="22"/>
        </w:rPr>
        <w:t>το μέτρο της επιτάχυνσης βαρύτητας</w:t>
      </w:r>
      <w:r w:rsidR="00E53377">
        <w:rPr>
          <w:rFonts w:asciiTheme="minorHAnsi" w:hAnsiTheme="minorHAnsi"/>
          <w:bCs/>
          <w:iCs/>
          <w:sz w:val="22"/>
          <w:szCs w:val="22"/>
        </w:rPr>
        <w:t xml:space="preserve"> είναι 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g≅10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E53377" w:rsidRPr="00E53377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ότι ισχύει </w:t>
      </w:r>
      <m:oMath>
        <m:r>
          <w:rPr>
            <w:rFonts w:ascii="Cambria Math" w:hAnsi="Cambria Math"/>
            <w:sz w:val="22"/>
            <w:szCs w:val="22"/>
          </w:rPr>
          <m:t>ln2≅0,7</m:t>
        </m:r>
      </m:oMath>
      <w:r w:rsidR="00E53377" w:rsidRPr="00E53377">
        <w:rPr>
          <w:rFonts w:asciiTheme="minorHAnsi" w:hAnsiTheme="minorHAnsi"/>
          <w:bCs/>
          <w:sz w:val="22"/>
          <w:szCs w:val="22"/>
        </w:rPr>
        <w:t xml:space="preserve"> </w:t>
      </w:r>
      <w:r w:rsidR="00E53377">
        <w:rPr>
          <w:rFonts w:asciiTheme="minorHAnsi" w:hAnsiTheme="minorHAnsi"/>
          <w:bCs/>
          <w:sz w:val="22"/>
          <w:szCs w:val="22"/>
        </w:rPr>
        <w:t xml:space="preserve">και ότι η σταθερά του </w:t>
      </w:r>
      <w:r w:rsidR="00E53377">
        <w:rPr>
          <w:rFonts w:asciiTheme="minorHAnsi" w:hAnsiTheme="minorHAnsi"/>
          <w:bCs/>
          <w:sz w:val="22"/>
          <w:szCs w:val="22"/>
          <w:lang w:val="en-US"/>
        </w:rPr>
        <w:t>Planck</w:t>
      </w:r>
      <w:r w:rsidR="00E53377" w:rsidRPr="00E53377">
        <w:rPr>
          <w:rFonts w:asciiTheme="minorHAnsi" w:hAnsiTheme="minorHAnsi"/>
          <w:bCs/>
          <w:sz w:val="22"/>
          <w:szCs w:val="22"/>
        </w:rPr>
        <w:t xml:space="preserve"> </w:t>
      </w:r>
      <w:r w:rsidR="00E53377">
        <w:rPr>
          <w:rFonts w:asciiTheme="minorHAnsi" w:hAnsiTheme="minorHAnsi"/>
          <w:bCs/>
          <w:sz w:val="22"/>
          <w:szCs w:val="22"/>
        </w:rPr>
        <w:t xml:space="preserve">είναι </w:t>
      </w:r>
      <m:oMath>
        <m:r>
          <w:rPr>
            <w:rFonts w:ascii="Cambria Math" w:hAnsi="Cambria Math"/>
            <w:sz w:val="22"/>
            <w:szCs w:val="22"/>
          </w:rPr>
          <m:t>h≅2∙π∙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-34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∙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</m:oMath>
      <w:r w:rsidRPr="0074300F">
        <w:rPr>
          <w:rFonts w:asciiTheme="minorHAnsi" w:hAnsiTheme="minorHAnsi"/>
          <w:bCs/>
          <w:sz w:val="22"/>
          <w:szCs w:val="22"/>
        </w:rPr>
        <w:t>.</w:t>
      </w:r>
    </w:p>
    <w:sectPr w:rsidR="00656A11" w:rsidRPr="00E53377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1"/>
    <w:rsid w:val="00010C22"/>
    <w:rsid w:val="000149E1"/>
    <w:rsid w:val="00023886"/>
    <w:rsid w:val="000676E4"/>
    <w:rsid w:val="000752C2"/>
    <w:rsid w:val="00093789"/>
    <w:rsid w:val="001313E7"/>
    <w:rsid w:val="00195A03"/>
    <w:rsid w:val="001A7C8B"/>
    <w:rsid w:val="001E61B4"/>
    <w:rsid w:val="003302AC"/>
    <w:rsid w:val="00345E7F"/>
    <w:rsid w:val="003625EF"/>
    <w:rsid w:val="003825A8"/>
    <w:rsid w:val="003C6629"/>
    <w:rsid w:val="00462620"/>
    <w:rsid w:val="00467985"/>
    <w:rsid w:val="00480950"/>
    <w:rsid w:val="00485B3D"/>
    <w:rsid w:val="004C66E4"/>
    <w:rsid w:val="004E69A6"/>
    <w:rsid w:val="004E710F"/>
    <w:rsid w:val="005159FB"/>
    <w:rsid w:val="00597FE6"/>
    <w:rsid w:val="006366AA"/>
    <w:rsid w:val="00656A11"/>
    <w:rsid w:val="0069101E"/>
    <w:rsid w:val="006B71AC"/>
    <w:rsid w:val="006E270C"/>
    <w:rsid w:val="006F2026"/>
    <w:rsid w:val="0074300F"/>
    <w:rsid w:val="00783560"/>
    <w:rsid w:val="007D0C6C"/>
    <w:rsid w:val="00805C15"/>
    <w:rsid w:val="008222B8"/>
    <w:rsid w:val="008A1238"/>
    <w:rsid w:val="00945B8A"/>
    <w:rsid w:val="00954AEA"/>
    <w:rsid w:val="009572C4"/>
    <w:rsid w:val="00965178"/>
    <w:rsid w:val="00A5357B"/>
    <w:rsid w:val="00AC7DA6"/>
    <w:rsid w:val="00AD3300"/>
    <w:rsid w:val="00B141B9"/>
    <w:rsid w:val="00B75C10"/>
    <w:rsid w:val="00B822A7"/>
    <w:rsid w:val="00B977DB"/>
    <w:rsid w:val="00BC49CB"/>
    <w:rsid w:val="00C00230"/>
    <w:rsid w:val="00C14707"/>
    <w:rsid w:val="00C23317"/>
    <w:rsid w:val="00C35CB5"/>
    <w:rsid w:val="00CB2A1A"/>
    <w:rsid w:val="00CB5981"/>
    <w:rsid w:val="00CE290A"/>
    <w:rsid w:val="00CF028F"/>
    <w:rsid w:val="00D06A5E"/>
    <w:rsid w:val="00D51963"/>
    <w:rsid w:val="00D731EE"/>
    <w:rsid w:val="00DB446A"/>
    <w:rsid w:val="00DB657B"/>
    <w:rsid w:val="00E00084"/>
    <w:rsid w:val="00E4357B"/>
    <w:rsid w:val="00E53377"/>
    <w:rsid w:val="00E96C57"/>
    <w:rsid w:val="00EA155E"/>
    <w:rsid w:val="00ED6F11"/>
    <w:rsid w:val="00F02471"/>
    <w:rsid w:val="00F13D1B"/>
    <w:rsid w:val="00F9683F"/>
    <w:rsid w:val="00FA3659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E037"/>
  <w15:docId w15:val="{49C633D5-DB8F-4AC6-96C1-942058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6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56A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a4">
    <w:name w:val="Placeholder Text"/>
    <w:basedOn w:val="a0"/>
    <w:uiPriority w:val="99"/>
    <w:semiHidden/>
    <w:rsid w:val="00DB446A"/>
    <w:rPr>
      <w:color w:val="808080"/>
    </w:rPr>
  </w:style>
  <w:style w:type="paragraph" w:styleId="a5">
    <w:name w:val="Revision"/>
    <w:hidden/>
    <w:uiPriority w:val="99"/>
    <w:semiHidden/>
    <w:rsid w:val="008A1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7774F-F00B-48A8-9740-567E08A58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A93EF-B436-42F1-BF5E-F13D709A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ΜΕΝΕΛΑΟΣ ΣΑΜΠΡΑΚΟΣ</cp:lastModifiedBy>
  <cp:revision>7</cp:revision>
  <dcterms:created xsi:type="dcterms:W3CDTF">2023-02-25T02:20:00Z</dcterms:created>
  <dcterms:modified xsi:type="dcterms:W3CDTF">2023-02-26T17:33:00Z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