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D593" w14:textId="77777777" w:rsidR="009617B7" w:rsidRPr="00E51AE0" w:rsidRDefault="009617B7" w:rsidP="00E51AE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1AE0">
        <w:rPr>
          <w:rFonts w:asciiTheme="minorHAnsi" w:hAnsiTheme="minorHAnsi" w:cstheme="minorHAnsi"/>
          <w:b/>
          <w:sz w:val="24"/>
          <w:szCs w:val="24"/>
        </w:rPr>
        <w:t xml:space="preserve">ΑΠΑΝΤΗΣΕΙΣ </w:t>
      </w:r>
    </w:p>
    <w:p w14:paraId="54285234" w14:textId="268838B6" w:rsidR="005B1C07" w:rsidRPr="00E95FCA" w:rsidRDefault="003B1803" w:rsidP="005C5862">
      <w:pPr>
        <w:pStyle w:val="Web"/>
        <w:spacing w:line="36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E51AE0">
        <w:rPr>
          <w:rFonts w:asciiTheme="minorHAnsi" w:hAnsiTheme="minorHAnsi" w:cstheme="minorHAnsi"/>
          <w:color w:val="000000"/>
        </w:rPr>
        <w:t>α)</w:t>
      </w:r>
      <w:r w:rsidR="00E95FCA" w:rsidRPr="00E95FCA">
        <w:rPr>
          <w:rFonts w:ascii="Comic Sans MS" w:hAnsi="Comic Sans MS"/>
          <w:sz w:val="20"/>
          <w:szCs w:val="20"/>
        </w:rPr>
        <w:t xml:space="preserve"> </w:t>
      </w:r>
      <w:r w:rsidR="00E95FCA" w:rsidRPr="00E95FCA">
        <w:rPr>
          <w:rFonts w:asciiTheme="minorHAnsi" w:hAnsiTheme="minorHAnsi" w:cstheme="minorHAnsi"/>
        </w:rPr>
        <w:t xml:space="preserve">Οι </w:t>
      </w:r>
      <w:proofErr w:type="spellStart"/>
      <w:r w:rsidR="00E95FCA" w:rsidRPr="00E95FCA">
        <w:rPr>
          <w:rFonts w:asciiTheme="minorHAnsi" w:hAnsiTheme="minorHAnsi" w:cstheme="minorHAnsi"/>
        </w:rPr>
        <w:t>Γαλάτες</w:t>
      </w:r>
      <w:proofErr w:type="spellEnd"/>
      <w:r w:rsidR="00E95FCA" w:rsidRPr="00E95FCA">
        <w:rPr>
          <w:rFonts w:asciiTheme="minorHAnsi" w:hAnsiTheme="minorHAnsi" w:cstheme="minorHAnsi"/>
        </w:rPr>
        <w:t xml:space="preserve"> με αρχηγό το Βρέννο</w:t>
      </w:r>
      <w:r w:rsidR="0099074A">
        <w:rPr>
          <w:rFonts w:asciiTheme="minorHAnsi" w:hAnsiTheme="minorHAnsi" w:cstheme="minorHAnsi"/>
        </w:rPr>
        <w:t xml:space="preserve">/ όταν ήταν ύπατος ο </w:t>
      </w:r>
      <w:proofErr w:type="spellStart"/>
      <w:r w:rsidR="0099074A">
        <w:rPr>
          <w:rFonts w:asciiTheme="minorHAnsi" w:hAnsiTheme="minorHAnsi" w:cstheme="minorHAnsi"/>
        </w:rPr>
        <w:t>Βρένος</w:t>
      </w:r>
      <w:proofErr w:type="spellEnd"/>
      <w:r w:rsidR="00E95FCA" w:rsidRPr="00E95FCA">
        <w:rPr>
          <w:rFonts w:asciiTheme="minorHAnsi" w:hAnsiTheme="minorHAnsi" w:cstheme="minorHAnsi"/>
        </w:rPr>
        <w:t xml:space="preserve">, αφού κατατρόπωσαν τις ρωμαϊκές λεγεώνες (τις λεγεώνες των Ρωμαίων) κοντά στον ποταμό </w:t>
      </w:r>
      <w:proofErr w:type="spellStart"/>
      <w:r w:rsidR="00E95FCA" w:rsidRPr="00E95FCA">
        <w:rPr>
          <w:rFonts w:asciiTheme="minorHAnsi" w:hAnsiTheme="minorHAnsi" w:cstheme="minorHAnsi"/>
        </w:rPr>
        <w:t>Αλία</w:t>
      </w:r>
      <w:proofErr w:type="spellEnd"/>
      <w:r w:rsidR="00E95FCA" w:rsidRPr="00E95FCA">
        <w:rPr>
          <w:rFonts w:asciiTheme="minorHAnsi" w:hAnsiTheme="minorHAnsi" w:cstheme="minorHAnsi"/>
        </w:rPr>
        <w:t>, κατέστρεψαν εντελώς την πόλη Ρώμη εκτός από το Καπιτώλιο, για το οποίο πήραν ως αντάλλαγμα ένα τεράστιο χρηματικό ποσό.</w:t>
      </w:r>
    </w:p>
    <w:p w14:paraId="29E671BA" w14:textId="2D53A5D0" w:rsidR="00FB47E5" w:rsidRPr="00416AF8" w:rsidRDefault="00681466" w:rsidP="00CB2170">
      <w:pPr>
        <w:pStyle w:val="Web"/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5C5862">
        <w:rPr>
          <w:rFonts w:asciiTheme="minorHAnsi" w:hAnsiTheme="minorHAnsi" w:cstheme="minorHAnsi"/>
          <w:bCs/>
          <w:color w:val="000000"/>
        </w:rPr>
        <w:t>β)</w:t>
      </w:r>
      <w:r w:rsidR="00E95FCA" w:rsidRPr="00E95FCA">
        <w:rPr>
          <w:rFonts w:asciiTheme="minorHAnsi" w:hAnsiTheme="minorHAnsi" w:cstheme="minorHAnsi"/>
        </w:rPr>
        <w:t xml:space="preserve">Στη διάρκεια του Λατινικού πολέμου ο ύπατος Τίτος </w:t>
      </w:r>
      <w:proofErr w:type="spellStart"/>
      <w:r w:rsidR="00E95FCA" w:rsidRPr="00E95FCA">
        <w:rPr>
          <w:rFonts w:asciiTheme="minorHAnsi" w:hAnsiTheme="minorHAnsi" w:cstheme="minorHAnsi"/>
        </w:rPr>
        <w:t>Μάνλιος</w:t>
      </w:r>
      <w:proofErr w:type="spellEnd"/>
      <w:r w:rsidR="00E95FCA" w:rsidRPr="00E95FCA">
        <w:rPr>
          <w:rFonts w:asciiTheme="minorHAnsi" w:hAnsiTheme="minorHAnsi" w:cstheme="minorHAnsi"/>
        </w:rPr>
        <w:t>, που καταγόταν</w:t>
      </w:r>
      <w:r w:rsidR="0099074A">
        <w:rPr>
          <w:rFonts w:asciiTheme="minorHAnsi" w:hAnsiTheme="minorHAnsi" w:cstheme="minorHAnsi"/>
        </w:rPr>
        <w:t>/καταγόμενος</w:t>
      </w:r>
      <w:r w:rsidR="00E95FCA" w:rsidRPr="00E95FCA">
        <w:rPr>
          <w:rFonts w:asciiTheme="minorHAnsi" w:hAnsiTheme="minorHAnsi" w:cstheme="minorHAnsi"/>
        </w:rPr>
        <w:t xml:space="preserve"> από αριστοκρατική γενιά, είχε την αρχηγία του ρωμαϊκού στρατού(του στρατού των Ρωμαίων). Κάποτε που έφευγε</w:t>
      </w:r>
      <w:r w:rsidR="0099074A">
        <w:rPr>
          <w:rFonts w:asciiTheme="minorHAnsi" w:hAnsiTheme="minorHAnsi" w:cstheme="minorHAnsi"/>
        </w:rPr>
        <w:t>/Αυτός όταν κάποτε έφ</w:t>
      </w:r>
      <w:r w:rsidR="00D859FB">
        <w:rPr>
          <w:rFonts w:asciiTheme="minorHAnsi" w:hAnsiTheme="minorHAnsi" w:cstheme="minorHAnsi"/>
        </w:rPr>
        <w:t>ε</w:t>
      </w:r>
      <w:r w:rsidR="0099074A">
        <w:rPr>
          <w:rFonts w:asciiTheme="minorHAnsi" w:hAnsiTheme="minorHAnsi" w:cstheme="minorHAnsi"/>
        </w:rPr>
        <w:t>υγε</w:t>
      </w:r>
      <w:r w:rsidR="00E95FCA" w:rsidRPr="00E95FCA">
        <w:rPr>
          <w:rFonts w:asciiTheme="minorHAnsi" w:hAnsiTheme="minorHAnsi" w:cstheme="minorHAnsi"/>
        </w:rPr>
        <w:t xml:space="preserve"> από το στρατόπεδο διέταξε να μην εμπλακεί κανείς σε μάχη </w:t>
      </w:r>
      <w:r w:rsidR="0099074A">
        <w:rPr>
          <w:rFonts w:asciiTheme="minorHAnsi" w:hAnsiTheme="minorHAnsi" w:cstheme="minorHAnsi"/>
        </w:rPr>
        <w:t>/</w:t>
      </w:r>
      <w:r w:rsidR="00E95FCA" w:rsidRPr="00E95FCA">
        <w:rPr>
          <w:rFonts w:asciiTheme="minorHAnsi" w:hAnsiTheme="minorHAnsi" w:cstheme="minorHAnsi"/>
        </w:rPr>
        <w:t>να απέχουν όλοι από τη μάχη. Αλλά λίγο αργότερα όμως ο γιος του πέρασε έφιππος μπροστά από το στρατόπεδο των εχθρών και ο αρχηγός τους τον προκάλεσε σε μάχη (</w:t>
      </w:r>
      <w:proofErr w:type="spellStart"/>
      <w:r w:rsidR="00E95FCA" w:rsidRPr="00E95FCA">
        <w:rPr>
          <w:rFonts w:asciiTheme="minorHAnsi" w:hAnsiTheme="minorHAnsi" w:cstheme="minorHAnsi"/>
        </w:rPr>
        <w:t>καιι</w:t>
      </w:r>
      <w:proofErr w:type="spellEnd"/>
      <w:r w:rsidR="00E95FCA" w:rsidRPr="00E95FCA">
        <w:rPr>
          <w:rFonts w:asciiTheme="minorHAnsi" w:hAnsiTheme="minorHAnsi" w:cstheme="minorHAnsi"/>
        </w:rPr>
        <w:t xml:space="preserve"> προκλήθηκε σε μάχη από τον αρχηγό των εχθρών) μ' αυτά τα λόγια: </w:t>
      </w:r>
      <w:r w:rsidR="00E95FCA">
        <w:rPr>
          <w:rFonts w:asciiTheme="minorHAnsi" w:hAnsiTheme="minorHAnsi" w:cstheme="minorHAnsi"/>
        </w:rPr>
        <w:t>«</w:t>
      </w:r>
      <w:r w:rsidR="00E95FCA" w:rsidRPr="00E95FCA">
        <w:rPr>
          <w:rFonts w:asciiTheme="minorHAnsi" w:hAnsiTheme="minorHAnsi" w:cstheme="minorHAnsi"/>
        </w:rPr>
        <w:t>Ας μονομαχήσουμε, για να κριθεί από την έκβαση της μονομαχίας πόσο ο Λατίνος στρατιώτης ξεπερνάει το Ρωμαίο σε ανδρεία!</w:t>
      </w:r>
      <w:r w:rsidR="00E95FCA">
        <w:rPr>
          <w:rFonts w:asciiTheme="minorHAnsi" w:hAnsiTheme="minorHAnsi" w:cstheme="minorHAnsi"/>
        </w:rPr>
        <w:t>»</w:t>
      </w:r>
      <w:r w:rsidR="00E95FCA" w:rsidRPr="00E95FCA">
        <w:rPr>
          <w:rFonts w:asciiTheme="minorHAnsi" w:hAnsiTheme="minorHAnsi" w:cstheme="minorHAnsi"/>
        </w:rPr>
        <w:t>. Τότε ο νεαρός όρμησε στον αγώνα, παρά τη διαταγή</w:t>
      </w:r>
      <w:r w:rsidR="0099074A">
        <w:rPr>
          <w:rFonts w:asciiTheme="minorHAnsi" w:hAnsiTheme="minorHAnsi" w:cstheme="minorHAnsi"/>
        </w:rPr>
        <w:t xml:space="preserve"> /αντίθετα με τη διαταγή</w:t>
      </w:r>
      <w:r w:rsidR="00E95FCA" w:rsidRPr="00E95FCA">
        <w:rPr>
          <w:rFonts w:asciiTheme="minorHAnsi" w:hAnsiTheme="minorHAnsi" w:cstheme="minorHAnsi"/>
        </w:rPr>
        <w:t xml:space="preserve"> του υπάτου, έχοντας εμπιστοσύνη στις δυνάμεις του και παρασυρμένος από την επιθυμία να πολεμήσει (για μάχη).</w:t>
      </w:r>
    </w:p>
    <w:p w14:paraId="08A5C870" w14:textId="4D3B5E72" w:rsidR="007C2AD3" w:rsidRDefault="007C2AD3" w:rsidP="00FB47E5">
      <w:pPr>
        <w:spacing w:after="0" w:line="360" w:lineRule="auto"/>
        <w:jc w:val="both"/>
        <w:rPr>
          <w:sz w:val="24"/>
          <w:szCs w:val="24"/>
        </w:rPr>
      </w:pPr>
      <w:r w:rsidRPr="007C2AD3">
        <w:rPr>
          <w:sz w:val="24"/>
          <w:szCs w:val="24"/>
        </w:rPr>
        <w:t>Γ</w:t>
      </w:r>
      <w:r w:rsidRPr="006B59B6">
        <w:rPr>
          <w:sz w:val="24"/>
          <w:szCs w:val="24"/>
        </w:rPr>
        <w:t>.1.</w:t>
      </w:r>
      <w:r w:rsidRPr="007C2AD3">
        <w:rPr>
          <w:sz w:val="24"/>
          <w:szCs w:val="24"/>
        </w:rPr>
        <w:t>α</w:t>
      </w:r>
      <w:r w:rsidRPr="006B59B6">
        <w:rPr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9F230D" w14:paraId="3379C30E" w14:textId="77777777" w:rsidTr="009F230D">
        <w:tc>
          <w:tcPr>
            <w:tcW w:w="3510" w:type="dxa"/>
          </w:tcPr>
          <w:p w14:paraId="35C309B0" w14:textId="2AF7B9E2" w:rsidR="009F230D" w:rsidRPr="009F230D" w:rsidRDefault="009F230D" w:rsidP="009F230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F230D">
              <w:rPr>
                <w:b/>
                <w:bCs/>
                <w:sz w:val="24"/>
                <w:szCs w:val="24"/>
              </w:rPr>
              <w:t>Ουσιαστικά γ ΄κλίσης</w:t>
            </w:r>
          </w:p>
        </w:tc>
        <w:tc>
          <w:tcPr>
            <w:tcW w:w="5776" w:type="dxa"/>
          </w:tcPr>
          <w:p w14:paraId="1657703E" w14:textId="7D22BD81" w:rsidR="009F230D" w:rsidRPr="009F230D" w:rsidRDefault="009F230D" w:rsidP="009F230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F230D">
              <w:rPr>
                <w:b/>
                <w:bCs/>
                <w:sz w:val="24"/>
                <w:szCs w:val="24"/>
              </w:rPr>
              <w:t>Αντίστοιχη πτώση στον άλλο αριθμό</w:t>
            </w:r>
          </w:p>
        </w:tc>
      </w:tr>
      <w:tr w:rsidR="009F230D" w14:paraId="7041AA93" w14:textId="77777777" w:rsidTr="009F230D">
        <w:tc>
          <w:tcPr>
            <w:tcW w:w="3510" w:type="dxa"/>
          </w:tcPr>
          <w:p w14:paraId="613CC354" w14:textId="29027D88" w:rsidR="009F230D" w:rsidRDefault="009F230D" w:rsidP="00FB47E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803F3">
              <w:rPr>
                <w:rFonts w:asciiTheme="minorHAnsi" w:eastAsia="TimesNewRomanPSMT" w:hAnsiTheme="minorHAnsi" w:cstheme="minorHAnsi"/>
                <w:sz w:val="24"/>
                <w:szCs w:val="24"/>
                <w:lang w:val="en-US"/>
              </w:rPr>
              <w:t>duce</w:t>
            </w:r>
          </w:p>
        </w:tc>
        <w:tc>
          <w:tcPr>
            <w:tcW w:w="5776" w:type="dxa"/>
          </w:tcPr>
          <w:p w14:paraId="731E6626" w14:textId="09C0A6CE" w:rsidR="009F230D" w:rsidRPr="009F230D" w:rsidRDefault="009F230D" w:rsidP="00FB47E5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ducibus</w:t>
            </w:r>
            <w:proofErr w:type="spellEnd"/>
          </w:p>
        </w:tc>
      </w:tr>
      <w:tr w:rsidR="009F230D" w14:paraId="7E253B68" w14:textId="77777777" w:rsidTr="009F230D">
        <w:tc>
          <w:tcPr>
            <w:tcW w:w="3510" w:type="dxa"/>
          </w:tcPr>
          <w:p w14:paraId="2239C376" w14:textId="6FCC2313" w:rsidR="009F230D" w:rsidRDefault="009F230D" w:rsidP="00FB47E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803F3">
              <w:rPr>
                <w:rFonts w:asciiTheme="minorHAnsi" w:eastAsia="TimesNewRomanPSMT" w:hAnsiTheme="minorHAnsi" w:cstheme="minorHAnsi"/>
                <w:sz w:val="24"/>
                <w:szCs w:val="24"/>
                <w:lang w:val="en-US"/>
              </w:rPr>
              <w:t>flumen</w:t>
            </w:r>
            <w:proofErr w:type="spellEnd"/>
          </w:p>
        </w:tc>
        <w:tc>
          <w:tcPr>
            <w:tcW w:w="5776" w:type="dxa"/>
          </w:tcPr>
          <w:p w14:paraId="1D0C5BAA" w14:textId="0CE605AF" w:rsidR="009F230D" w:rsidRPr="009F230D" w:rsidRDefault="009F230D" w:rsidP="00FB47E5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flumina</w:t>
            </w:r>
            <w:proofErr w:type="spellEnd"/>
          </w:p>
        </w:tc>
      </w:tr>
      <w:tr w:rsidR="009F230D" w14:paraId="3525B67D" w14:textId="77777777" w:rsidTr="009F230D">
        <w:tc>
          <w:tcPr>
            <w:tcW w:w="3510" w:type="dxa"/>
          </w:tcPr>
          <w:p w14:paraId="7564FCE3" w14:textId="0F5301BD" w:rsidR="009F230D" w:rsidRDefault="009F230D" w:rsidP="00FB47E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803F3">
              <w:rPr>
                <w:rFonts w:asciiTheme="minorHAnsi" w:eastAsia="TimesNewRomanPSMT" w:hAnsiTheme="minorHAnsi" w:cstheme="minorHAnsi"/>
                <w:sz w:val="24"/>
                <w:szCs w:val="24"/>
                <w:lang w:val="en-US"/>
              </w:rPr>
              <w:t>legiōnibus</w:t>
            </w:r>
            <w:proofErr w:type="spellEnd"/>
          </w:p>
        </w:tc>
        <w:tc>
          <w:tcPr>
            <w:tcW w:w="5776" w:type="dxa"/>
          </w:tcPr>
          <w:p w14:paraId="3E469743" w14:textId="1B63FE8F" w:rsidR="009F230D" w:rsidRPr="009F230D" w:rsidRDefault="009F230D" w:rsidP="00FB47E5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legione</w:t>
            </w:r>
            <w:proofErr w:type="spellEnd"/>
          </w:p>
        </w:tc>
      </w:tr>
      <w:tr w:rsidR="009F230D" w14:paraId="199B8FFC" w14:textId="77777777" w:rsidTr="009F230D">
        <w:tc>
          <w:tcPr>
            <w:tcW w:w="3510" w:type="dxa"/>
          </w:tcPr>
          <w:p w14:paraId="02D6A863" w14:textId="7178521D" w:rsidR="009F230D" w:rsidRDefault="009F230D" w:rsidP="00FB47E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803F3">
              <w:rPr>
                <w:rFonts w:asciiTheme="minorHAnsi" w:eastAsia="TimesNewRomanPSMT" w:hAnsiTheme="minorHAnsi" w:cstheme="minorHAnsi"/>
                <w:sz w:val="24"/>
                <w:szCs w:val="24"/>
                <w:lang w:val="en-US"/>
              </w:rPr>
              <w:t>urbem</w:t>
            </w:r>
            <w:proofErr w:type="spellEnd"/>
          </w:p>
        </w:tc>
        <w:tc>
          <w:tcPr>
            <w:tcW w:w="5776" w:type="dxa"/>
          </w:tcPr>
          <w:p w14:paraId="0006A2AE" w14:textId="7BB263D1" w:rsidR="009F230D" w:rsidRPr="009F230D" w:rsidRDefault="009F230D" w:rsidP="00FB47E5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urbes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+</w:t>
            </w:r>
            <w:proofErr w:type="spellStart"/>
            <w:r>
              <w:rPr>
                <w:sz w:val="24"/>
                <w:szCs w:val="24"/>
                <w:lang w:val="en-US"/>
              </w:rPr>
              <w:t>urbis</w:t>
            </w:r>
            <w:proofErr w:type="spellEnd"/>
          </w:p>
        </w:tc>
      </w:tr>
      <w:tr w:rsidR="009F230D" w14:paraId="737D2DDF" w14:textId="77777777" w:rsidTr="009F230D">
        <w:tc>
          <w:tcPr>
            <w:tcW w:w="3510" w:type="dxa"/>
          </w:tcPr>
          <w:p w14:paraId="7FEF6571" w14:textId="1ECA9899" w:rsidR="009F230D" w:rsidRDefault="009F230D" w:rsidP="00FB47E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803F3">
              <w:rPr>
                <w:rFonts w:asciiTheme="minorHAnsi" w:eastAsia="TimesNewRomanPSMT" w:hAnsiTheme="minorHAnsi" w:cstheme="minorHAnsi"/>
                <w:sz w:val="24"/>
                <w:szCs w:val="24"/>
                <w:lang w:val="en-US"/>
              </w:rPr>
              <w:t>iure</w:t>
            </w:r>
            <w:proofErr w:type="spellEnd"/>
          </w:p>
        </w:tc>
        <w:tc>
          <w:tcPr>
            <w:tcW w:w="5776" w:type="dxa"/>
          </w:tcPr>
          <w:p w14:paraId="1E13AA69" w14:textId="04D528CF" w:rsidR="009F230D" w:rsidRPr="009F230D" w:rsidRDefault="009F230D" w:rsidP="00FB47E5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iur</w:t>
            </w:r>
            <w:r w:rsidR="00D859FB">
              <w:rPr>
                <w:sz w:val="24"/>
                <w:szCs w:val="24"/>
                <w:lang w:val="en-US"/>
              </w:rPr>
              <w:t>ibus</w:t>
            </w:r>
            <w:proofErr w:type="spellEnd"/>
          </w:p>
        </w:tc>
      </w:tr>
      <w:tr w:rsidR="009F230D" w14:paraId="57034B21" w14:textId="77777777" w:rsidTr="009F230D">
        <w:tc>
          <w:tcPr>
            <w:tcW w:w="3510" w:type="dxa"/>
          </w:tcPr>
          <w:p w14:paraId="40781DB5" w14:textId="48948EEE" w:rsidR="009F230D" w:rsidRPr="00B803F3" w:rsidRDefault="009F230D" w:rsidP="00FB47E5">
            <w:pPr>
              <w:spacing w:after="0" w:line="360" w:lineRule="auto"/>
              <w:jc w:val="both"/>
              <w:rPr>
                <w:rFonts w:asciiTheme="minorHAnsi" w:eastAsia="TimesNewRomanPSMT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B803F3">
              <w:rPr>
                <w:rFonts w:asciiTheme="minorHAnsi" w:eastAsia="TimesNewRomanPSMT" w:hAnsiTheme="minorHAnsi" w:cstheme="minorHAnsi"/>
                <w:sz w:val="24"/>
                <w:szCs w:val="24"/>
                <w:lang w:val="en-US"/>
              </w:rPr>
              <w:t>dictātor</w:t>
            </w:r>
            <w:proofErr w:type="spellEnd"/>
          </w:p>
        </w:tc>
        <w:tc>
          <w:tcPr>
            <w:tcW w:w="5776" w:type="dxa"/>
          </w:tcPr>
          <w:p w14:paraId="5B188716" w14:textId="366A34D0" w:rsidR="009F230D" w:rsidRPr="009F230D" w:rsidRDefault="009F230D" w:rsidP="00FB47E5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dictatores</w:t>
            </w:r>
            <w:proofErr w:type="spellEnd"/>
          </w:p>
        </w:tc>
      </w:tr>
    </w:tbl>
    <w:p w14:paraId="79A32835" w14:textId="77777777" w:rsidR="009F230D" w:rsidRPr="006B59B6" w:rsidRDefault="009F230D" w:rsidP="00FB47E5">
      <w:pPr>
        <w:spacing w:after="0" w:line="360" w:lineRule="auto"/>
        <w:jc w:val="both"/>
        <w:rPr>
          <w:sz w:val="24"/>
          <w:szCs w:val="24"/>
        </w:rPr>
      </w:pPr>
    </w:p>
    <w:p w14:paraId="7DD0807F" w14:textId="6A6ECD45" w:rsidR="002C17F6" w:rsidRPr="005C5862" w:rsidRDefault="00017961" w:rsidP="00611131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 w:eastAsia="el-GR"/>
        </w:rPr>
      </w:pPr>
      <w:r>
        <w:rPr>
          <w:rFonts w:cstheme="minorHAnsi"/>
          <w:color w:val="000000"/>
          <w:sz w:val="24"/>
          <w:szCs w:val="24"/>
          <w:lang w:eastAsia="el-GR"/>
        </w:rPr>
        <w:t>Γ</w:t>
      </w:r>
      <w:r w:rsidRPr="005C5862">
        <w:rPr>
          <w:rFonts w:cstheme="minorHAnsi"/>
          <w:color w:val="000000"/>
          <w:sz w:val="24"/>
          <w:szCs w:val="24"/>
          <w:lang w:val="en-US" w:eastAsia="el-GR"/>
        </w:rPr>
        <w:t>.1.</w:t>
      </w:r>
      <w:r>
        <w:rPr>
          <w:rFonts w:cstheme="minorHAnsi"/>
          <w:color w:val="000000"/>
          <w:sz w:val="24"/>
          <w:szCs w:val="24"/>
          <w:lang w:eastAsia="el-GR"/>
        </w:rPr>
        <w:t>β</w:t>
      </w:r>
      <w:r w:rsidRPr="005C5862">
        <w:rPr>
          <w:rFonts w:cstheme="minorHAnsi"/>
          <w:color w:val="000000"/>
          <w:sz w:val="24"/>
          <w:szCs w:val="24"/>
          <w:lang w:val="en-US" w:eastAsia="el-GR"/>
        </w:rPr>
        <w:t>.</w:t>
      </w:r>
    </w:p>
    <w:tbl>
      <w:tblPr>
        <w:tblStyle w:val="1"/>
        <w:tblW w:w="7599" w:type="dxa"/>
        <w:jc w:val="center"/>
        <w:tblLook w:val="04A0" w:firstRow="1" w:lastRow="0" w:firstColumn="1" w:lastColumn="0" w:noHBand="0" w:noVBand="1"/>
      </w:tblPr>
      <w:tblGrid>
        <w:gridCol w:w="2541"/>
        <w:gridCol w:w="2529"/>
        <w:gridCol w:w="2529"/>
      </w:tblGrid>
      <w:tr w:rsidR="00E95FCA" w:rsidRPr="00A2621A" w14:paraId="2A7A0F03" w14:textId="77777777" w:rsidTr="00A15D08">
        <w:trPr>
          <w:jc w:val="center"/>
        </w:trPr>
        <w:tc>
          <w:tcPr>
            <w:tcW w:w="2541" w:type="dxa"/>
          </w:tcPr>
          <w:p w14:paraId="60783D8F" w14:textId="77777777" w:rsidR="00E95FCA" w:rsidRPr="006F0852" w:rsidRDefault="00E95FCA" w:rsidP="00A15D0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bookmarkStart w:id="0" w:name="_Hlk123569868"/>
            <w:r w:rsidRPr="006F0852">
              <w:rPr>
                <w:rFonts w:cstheme="minorHAnsi"/>
                <w:b/>
                <w:bCs/>
              </w:rPr>
              <w:t>Θετικός βαθμός</w:t>
            </w:r>
          </w:p>
        </w:tc>
        <w:tc>
          <w:tcPr>
            <w:tcW w:w="2529" w:type="dxa"/>
          </w:tcPr>
          <w:p w14:paraId="7FDE85C4" w14:textId="77777777" w:rsidR="00E95FCA" w:rsidRPr="006F0852" w:rsidRDefault="00E95FCA" w:rsidP="00A15D0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6F0852">
              <w:rPr>
                <w:rFonts w:cstheme="minorHAnsi"/>
                <w:b/>
                <w:bCs/>
              </w:rPr>
              <w:t>Συγκριτικός βαθμός</w:t>
            </w:r>
          </w:p>
        </w:tc>
        <w:tc>
          <w:tcPr>
            <w:tcW w:w="2529" w:type="dxa"/>
          </w:tcPr>
          <w:p w14:paraId="16BEA2D9" w14:textId="77777777" w:rsidR="00E95FCA" w:rsidRPr="006F0852" w:rsidRDefault="00E95FCA" w:rsidP="00A15D0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6F0852">
              <w:rPr>
                <w:rFonts w:cstheme="minorHAnsi"/>
                <w:b/>
                <w:bCs/>
              </w:rPr>
              <w:t>Υπερθετικός βαθμός</w:t>
            </w:r>
          </w:p>
        </w:tc>
      </w:tr>
      <w:tr w:rsidR="00E95FCA" w:rsidRPr="00A2621A" w14:paraId="211605F6" w14:textId="77777777" w:rsidTr="00A15D08">
        <w:trPr>
          <w:jc w:val="center"/>
        </w:trPr>
        <w:tc>
          <w:tcPr>
            <w:tcW w:w="2541" w:type="dxa"/>
          </w:tcPr>
          <w:p w14:paraId="279EB810" w14:textId="77777777" w:rsidR="00E95FCA" w:rsidRPr="00A2621A" w:rsidRDefault="00E95FCA" w:rsidP="00A15D08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bookmarkStart w:id="1" w:name="_Hlk116512948"/>
            <w:proofErr w:type="spellStart"/>
            <w:r w:rsidRPr="00B803F3">
              <w:rPr>
                <w:rFonts w:asciiTheme="minorHAnsi" w:eastAsia="TimesNewRomanPSMT" w:hAnsiTheme="minorHAnsi" w:cstheme="minorHAnsi"/>
                <w:lang w:val="en-US"/>
              </w:rPr>
              <w:t>diu</w:t>
            </w:r>
            <w:proofErr w:type="spellEnd"/>
          </w:p>
        </w:tc>
        <w:tc>
          <w:tcPr>
            <w:tcW w:w="2529" w:type="dxa"/>
          </w:tcPr>
          <w:p w14:paraId="0F080CB7" w14:textId="77777777" w:rsidR="00E95FCA" w:rsidRPr="00555A75" w:rsidRDefault="00E95FCA" w:rsidP="00A15D08">
            <w:pPr>
              <w:spacing w:line="360" w:lineRule="auto"/>
              <w:contextualSpacing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diutius</w:t>
            </w:r>
            <w:proofErr w:type="spellEnd"/>
          </w:p>
        </w:tc>
        <w:tc>
          <w:tcPr>
            <w:tcW w:w="2529" w:type="dxa"/>
          </w:tcPr>
          <w:p w14:paraId="42DC8639" w14:textId="77777777" w:rsidR="00E95FCA" w:rsidRPr="00555A75" w:rsidRDefault="00E95FCA" w:rsidP="00A15D08">
            <w:pPr>
              <w:spacing w:line="360" w:lineRule="auto"/>
              <w:ind w:left="720"/>
              <w:contextualSpacing/>
              <w:jc w:val="both"/>
              <w:rPr>
                <w:rFonts w:cstheme="minorHAnsi"/>
                <w:lang w:val="en-US"/>
              </w:rPr>
            </w:pPr>
            <w:proofErr w:type="spellStart"/>
            <w:r w:rsidRPr="00555A75">
              <w:rPr>
                <w:rFonts w:cstheme="minorHAnsi"/>
                <w:lang w:val="en-US"/>
              </w:rPr>
              <w:t>diutissime</w:t>
            </w:r>
            <w:proofErr w:type="spellEnd"/>
          </w:p>
        </w:tc>
      </w:tr>
      <w:tr w:rsidR="00E95FCA" w:rsidRPr="00A2621A" w14:paraId="62C27100" w14:textId="77777777" w:rsidTr="00A15D08">
        <w:trPr>
          <w:jc w:val="center"/>
        </w:trPr>
        <w:tc>
          <w:tcPr>
            <w:tcW w:w="2541" w:type="dxa"/>
          </w:tcPr>
          <w:p w14:paraId="64EF6C42" w14:textId="77777777" w:rsidR="00E95FCA" w:rsidRPr="00A2621A" w:rsidRDefault="00E95FCA" w:rsidP="00A15D08">
            <w:pPr>
              <w:spacing w:line="360" w:lineRule="auto"/>
              <w:jc w:val="both"/>
              <w:rPr>
                <w:rFonts w:cstheme="minorHAnsi"/>
              </w:rPr>
            </w:pPr>
            <w:r w:rsidRPr="00B803F3">
              <w:rPr>
                <w:rFonts w:asciiTheme="minorHAnsi" w:eastAsia="TimesNewRomanPSMT" w:hAnsiTheme="minorHAnsi" w:cstheme="minorHAnsi"/>
                <w:lang w:val="en-US"/>
              </w:rPr>
              <w:t>aequo</w:t>
            </w:r>
          </w:p>
        </w:tc>
        <w:tc>
          <w:tcPr>
            <w:tcW w:w="2529" w:type="dxa"/>
          </w:tcPr>
          <w:p w14:paraId="5018FB2A" w14:textId="77777777" w:rsidR="00E95FCA" w:rsidRPr="00555A75" w:rsidRDefault="00E95FCA" w:rsidP="00A15D08">
            <w:pPr>
              <w:spacing w:line="360" w:lineRule="auto"/>
              <w:contextualSpacing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aequiore</w:t>
            </w:r>
            <w:proofErr w:type="spellEnd"/>
          </w:p>
        </w:tc>
        <w:tc>
          <w:tcPr>
            <w:tcW w:w="2529" w:type="dxa"/>
          </w:tcPr>
          <w:p w14:paraId="69685644" w14:textId="77777777" w:rsidR="00E95FCA" w:rsidRPr="00555A75" w:rsidRDefault="00E95FCA" w:rsidP="00A15D08">
            <w:pPr>
              <w:spacing w:line="360" w:lineRule="auto"/>
              <w:ind w:left="720"/>
              <w:contextualSpacing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aequissimo</w:t>
            </w:r>
            <w:proofErr w:type="spellEnd"/>
          </w:p>
        </w:tc>
      </w:tr>
      <w:tr w:rsidR="00E95FCA" w:rsidRPr="00A2621A" w14:paraId="4647C070" w14:textId="77777777" w:rsidTr="00A15D08">
        <w:trPr>
          <w:jc w:val="center"/>
        </w:trPr>
        <w:tc>
          <w:tcPr>
            <w:tcW w:w="2541" w:type="dxa"/>
          </w:tcPr>
          <w:p w14:paraId="58760855" w14:textId="77777777" w:rsidR="00E95FCA" w:rsidRPr="00A2621A" w:rsidRDefault="00E95FCA" w:rsidP="00A15D08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697D48">
              <w:rPr>
                <w:rFonts w:asciiTheme="minorHAnsi" w:eastAsia="TimesNewRomanPSMT" w:hAnsiTheme="minorHAnsi" w:cstheme="minorHAnsi"/>
                <w:lang w:val="en-US"/>
              </w:rPr>
              <w:lastRenderedPageBreak/>
              <w:t>nobili</w:t>
            </w:r>
            <w:proofErr w:type="spellEnd"/>
          </w:p>
        </w:tc>
        <w:tc>
          <w:tcPr>
            <w:tcW w:w="2529" w:type="dxa"/>
          </w:tcPr>
          <w:p w14:paraId="432A7DF8" w14:textId="77777777" w:rsidR="00E95FCA" w:rsidRPr="00555A75" w:rsidRDefault="00E95FCA" w:rsidP="00A15D08">
            <w:pPr>
              <w:spacing w:line="360" w:lineRule="auto"/>
              <w:contextualSpacing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nobiliore</w:t>
            </w:r>
            <w:proofErr w:type="spellEnd"/>
          </w:p>
        </w:tc>
        <w:tc>
          <w:tcPr>
            <w:tcW w:w="2529" w:type="dxa"/>
          </w:tcPr>
          <w:p w14:paraId="502F6BCF" w14:textId="77777777" w:rsidR="00E95FCA" w:rsidRPr="00555A75" w:rsidRDefault="00E95FCA" w:rsidP="00A15D08">
            <w:pPr>
              <w:spacing w:line="360" w:lineRule="auto"/>
              <w:ind w:left="720"/>
              <w:contextualSpacing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nobilissimo</w:t>
            </w:r>
            <w:proofErr w:type="spellEnd"/>
          </w:p>
        </w:tc>
      </w:tr>
      <w:bookmarkEnd w:id="0"/>
      <w:bookmarkEnd w:id="1"/>
    </w:tbl>
    <w:p w14:paraId="6C5356E7" w14:textId="77777777" w:rsidR="00216F76" w:rsidRDefault="00216F76" w:rsidP="00E51A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2C2E91" w14:textId="0AE903A8" w:rsidR="000241D2" w:rsidRDefault="00A129F9" w:rsidP="00E51A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Γ</w:t>
      </w:r>
      <w:r w:rsidRPr="00A96A24">
        <w:rPr>
          <w:rFonts w:asciiTheme="minorHAnsi" w:hAnsiTheme="minorHAnsi" w:cstheme="minorHAnsi"/>
          <w:sz w:val="24"/>
          <w:szCs w:val="24"/>
          <w:lang w:val="en-US"/>
        </w:rPr>
        <w:t>.2.</w:t>
      </w:r>
      <w:r w:rsidR="005C5862">
        <w:rPr>
          <w:rFonts w:asciiTheme="minorHAnsi" w:hAnsiTheme="minorHAnsi" w:cstheme="minorHAnsi"/>
          <w:sz w:val="24"/>
          <w:szCs w:val="24"/>
        </w:rPr>
        <w:t>α</w:t>
      </w:r>
      <w:r w:rsidRPr="00A96A24">
        <w:rPr>
          <w:rFonts w:asciiTheme="minorHAnsi" w:hAnsiTheme="minorHAnsi" w:cstheme="minorHAnsi"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D774E" w:rsidRPr="00ED774E" w14:paraId="5DAFED57" w14:textId="77777777" w:rsidTr="00A15D08">
        <w:tc>
          <w:tcPr>
            <w:tcW w:w="4643" w:type="dxa"/>
          </w:tcPr>
          <w:p w14:paraId="6B335492" w14:textId="77777777" w:rsidR="00ED774E" w:rsidRPr="00ED774E" w:rsidRDefault="00ED774E" w:rsidP="00ED774E">
            <w:pPr>
              <w:spacing w:after="0" w:line="360" w:lineRule="auto"/>
              <w:jc w:val="both"/>
              <w:rPr>
                <w:rFonts w:eastAsia="TimesNewRomanPSMT" w:cstheme="minorHAnsi"/>
                <w:b/>
                <w:bCs/>
                <w:sz w:val="24"/>
                <w:szCs w:val="24"/>
              </w:rPr>
            </w:pPr>
            <w:r w:rsidRPr="00ED774E">
              <w:rPr>
                <w:rFonts w:eastAsia="TimesNewRomanPSMT" w:cstheme="minorHAnsi"/>
                <w:b/>
                <w:bCs/>
                <w:sz w:val="24"/>
                <w:szCs w:val="24"/>
              </w:rPr>
              <w:t xml:space="preserve">Μετοχή </w:t>
            </w:r>
          </w:p>
        </w:tc>
        <w:tc>
          <w:tcPr>
            <w:tcW w:w="4643" w:type="dxa"/>
          </w:tcPr>
          <w:p w14:paraId="2B4052A9" w14:textId="77777777" w:rsidR="00ED774E" w:rsidRPr="00ED774E" w:rsidRDefault="00ED774E" w:rsidP="00ED774E">
            <w:pPr>
              <w:spacing w:after="0" w:line="360" w:lineRule="auto"/>
              <w:jc w:val="both"/>
              <w:rPr>
                <w:rFonts w:eastAsia="TimesNewRomanPSMT" w:cstheme="minorHAnsi"/>
                <w:b/>
                <w:bCs/>
                <w:sz w:val="24"/>
                <w:szCs w:val="24"/>
              </w:rPr>
            </w:pPr>
            <w:r w:rsidRPr="00ED774E">
              <w:rPr>
                <w:rFonts w:eastAsia="TimesNewRomanPSMT" w:cstheme="minorHAnsi"/>
                <w:b/>
                <w:bCs/>
                <w:sz w:val="24"/>
                <w:szCs w:val="24"/>
              </w:rPr>
              <w:t xml:space="preserve">Ζητούμενος τύπος </w:t>
            </w:r>
          </w:p>
        </w:tc>
      </w:tr>
      <w:tr w:rsidR="00ED774E" w:rsidRPr="00ED774E" w14:paraId="06DE9503" w14:textId="77777777" w:rsidTr="00A15D08">
        <w:tc>
          <w:tcPr>
            <w:tcW w:w="4643" w:type="dxa"/>
          </w:tcPr>
          <w:p w14:paraId="41311B8A" w14:textId="77777777" w:rsidR="00ED774E" w:rsidRPr="00ED774E" w:rsidRDefault="00ED774E" w:rsidP="00ED774E">
            <w:pPr>
              <w:spacing w:after="0"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proofErr w:type="spellStart"/>
            <w:r w:rsidRPr="00ED774E">
              <w:rPr>
                <w:rFonts w:asciiTheme="minorHAnsi" w:eastAsia="TimesNewRomanPSMT" w:hAnsiTheme="minorHAnsi" w:cstheme="minorHAnsi"/>
                <w:sz w:val="24"/>
                <w:szCs w:val="24"/>
                <w:lang w:val="en-US"/>
              </w:rPr>
              <w:t>natus</w:t>
            </w:r>
            <w:proofErr w:type="spellEnd"/>
          </w:p>
        </w:tc>
        <w:tc>
          <w:tcPr>
            <w:tcW w:w="4643" w:type="dxa"/>
          </w:tcPr>
          <w:p w14:paraId="13FA5D6B" w14:textId="77777777" w:rsidR="00ED774E" w:rsidRPr="00ED774E" w:rsidRDefault="00ED774E" w:rsidP="00ED774E">
            <w:pPr>
              <w:spacing w:after="0" w:line="360" w:lineRule="auto"/>
              <w:jc w:val="both"/>
              <w:rPr>
                <w:rFonts w:eastAsia="TimesNewRomanPSMT" w:cstheme="minorHAnsi"/>
                <w:sz w:val="24"/>
                <w:szCs w:val="24"/>
                <w:lang w:val="en-US"/>
              </w:rPr>
            </w:pPr>
            <w:proofErr w:type="spellStart"/>
            <w:r w:rsidRPr="00ED774E">
              <w:rPr>
                <w:rFonts w:eastAsia="TimesNewRomanPSMT" w:cstheme="minorHAnsi"/>
                <w:sz w:val="24"/>
                <w:szCs w:val="24"/>
                <w:lang w:val="en-US"/>
              </w:rPr>
              <w:t>nascituri</w:t>
            </w:r>
            <w:proofErr w:type="spellEnd"/>
          </w:p>
        </w:tc>
      </w:tr>
      <w:tr w:rsidR="00ED774E" w:rsidRPr="00ED774E" w14:paraId="165BD8B8" w14:textId="77777777" w:rsidTr="00A15D08">
        <w:tc>
          <w:tcPr>
            <w:tcW w:w="4643" w:type="dxa"/>
          </w:tcPr>
          <w:p w14:paraId="24073DFA" w14:textId="77777777" w:rsidR="00ED774E" w:rsidRPr="00ED774E" w:rsidRDefault="00ED774E" w:rsidP="00ED774E">
            <w:pPr>
              <w:spacing w:after="0"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proofErr w:type="spellStart"/>
            <w:r w:rsidRPr="00ED774E">
              <w:rPr>
                <w:rFonts w:asciiTheme="minorHAnsi" w:eastAsia="TimesNewRomanPSMT" w:hAnsiTheme="minorHAnsi" w:cstheme="minorHAnsi"/>
                <w:sz w:val="24"/>
                <w:szCs w:val="24"/>
                <w:lang w:val="en-US"/>
              </w:rPr>
              <w:t>confīsus</w:t>
            </w:r>
            <w:proofErr w:type="spellEnd"/>
          </w:p>
        </w:tc>
        <w:tc>
          <w:tcPr>
            <w:tcW w:w="4643" w:type="dxa"/>
          </w:tcPr>
          <w:p w14:paraId="44E167E7" w14:textId="77777777" w:rsidR="00ED774E" w:rsidRPr="00ED774E" w:rsidRDefault="00ED774E" w:rsidP="00ED774E">
            <w:pPr>
              <w:spacing w:after="0" w:line="360" w:lineRule="auto"/>
              <w:jc w:val="both"/>
              <w:rPr>
                <w:rFonts w:eastAsia="TimesNewRomanPSMT" w:cstheme="minorHAnsi"/>
                <w:sz w:val="24"/>
                <w:szCs w:val="24"/>
                <w:lang w:val="en-US"/>
              </w:rPr>
            </w:pPr>
            <w:proofErr w:type="spellStart"/>
            <w:r w:rsidRPr="00ED774E">
              <w:rPr>
                <w:rFonts w:eastAsia="TimesNewRomanPSMT" w:cstheme="minorHAnsi"/>
                <w:sz w:val="24"/>
                <w:szCs w:val="24"/>
                <w:lang w:val="en-US"/>
              </w:rPr>
              <w:t>confisuri</w:t>
            </w:r>
            <w:proofErr w:type="spellEnd"/>
          </w:p>
        </w:tc>
      </w:tr>
      <w:tr w:rsidR="00ED774E" w:rsidRPr="00ED774E" w14:paraId="53143E38" w14:textId="77777777" w:rsidTr="00A15D08">
        <w:tc>
          <w:tcPr>
            <w:tcW w:w="4643" w:type="dxa"/>
          </w:tcPr>
          <w:p w14:paraId="5C95CF7A" w14:textId="77777777" w:rsidR="00ED774E" w:rsidRPr="00ED774E" w:rsidRDefault="00ED774E" w:rsidP="00ED774E">
            <w:pPr>
              <w:spacing w:after="0" w:line="360" w:lineRule="auto"/>
              <w:jc w:val="both"/>
              <w:rPr>
                <w:rFonts w:eastAsia="TimesNewRomanPSMT" w:cstheme="minorHAnsi"/>
                <w:sz w:val="24"/>
                <w:szCs w:val="24"/>
                <w:lang w:val="en-US"/>
              </w:rPr>
            </w:pPr>
            <w:proofErr w:type="spellStart"/>
            <w:r w:rsidRPr="00ED774E">
              <w:rPr>
                <w:rFonts w:eastAsia="TimesNewRomanPSMT" w:cstheme="minorHAnsi"/>
                <w:sz w:val="24"/>
                <w:szCs w:val="24"/>
                <w:lang w:val="en-US"/>
              </w:rPr>
              <w:t>permotus</w:t>
            </w:r>
            <w:proofErr w:type="spellEnd"/>
          </w:p>
        </w:tc>
        <w:tc>
          <w:tcPr>
            <w:tcW w:w="4643" w:type="dxa"/>
          </w:tcPr>
          <w:p w14:paraId="7A4563D8" w14:textId="77777777" w:rsidR="00ED774E" w:rsidRPr="00ED774E" w:rsidRDefault="00ED774E" w:rsidP="00ED774E">
            <w:pPr>
              <w:spacing w:after="0" w:line="360" w:lineRule="auto"/>
              <w:jc w:val="both"/>
              <w:rPr>
                <w:rFonts w:eastAsia="TimesNewRomanPSMT" w:cstheme="minorHAnsi"/>
                <w:sz w:val="24"/>
                <w:szCs w:val="24"/>
                <w:lang w:val="en-US"/>
              </w:rPr>
            </w:pPr>
            <w:proofErr w:type="spellStart"/>
            <w:r w:rsidRPr="00ED774E">
              <w:rPr>
                <w:rFonts w:eastAsia="TimesNewRomanPSMT" w:cstheme="minorHAnsi"/>
                <w:sz w:val="24"/>
                <w:szCs w:val="24"/>
                <w:lang w:val="en-US"/>
              </w:rPr>
              <w:t>permoturi</w:t>
            </w:r>
            <w:proofErr w:type="spellEnd"/>
          </w:p>
        </w:tc>
      </w:tr>
    </w:tbl>
    <w:p w14:paraId="35886945" w14:textId="77777777" w:rsidR="009F230D" w:rsidRDefault="009F230D" w:rsidP="00E51A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D882E73" w14:textId="2834BACF" w:rsidR="005C5862" w:rsidRDefault="00284BBD" w:rsidP="00E51A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Γ</w:t>
      </w:r>
      <w:r w:rsidRPr="00416AF8">
        <w:rPr>
          <w:rFonts w:asciiTheme="minorHAnsi" w:hAnsiTheme="minorHAnsi" w:cstheme="minorHAnsi"/>
          <w:sz w:val="24"/>
          <w:szCs w:val="24"/>
          <w:lang w:val="en-US"/>
        </w:rPr>
        <w:t>.2.</w:t>
      </w:r>
      <w:r>
        <w:rPr>
          <w:rFonts w:asciiTheme="minorHAnsi" w:hAnsiTheme="minorHAnsi" w:cstheme="minorHAnsi"/>
          <w:sz w:val="24"/>
          <w:szCs w:val="24"/>
        </w:rPr>
        <w:t>β</w:t>
      </w:r>
      <w:r w:rsidRPr="00416AF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0465B343" w14:textId="7AB09140" w:rsidR="005B4DBE" w:rsidRPr="000646F2" w:rsidRDefault="005B4DBE" w:rsidP="005B4DBE">
      <w:pPr>
        <w:spacing w:after="0" w:line="360" w:lineRule="auto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 w:rsidRPr="005B4DBE">
        <w:rPr>
          <w:rFonts w:eastAsia="TimesNewRomanPSMT" w:cstheme="minorHAnsi"/>
          <w:sz w:val="24"/>
          <w:szCs w:val="24"/>
          <w:lang w:val="en-US"/>
        </w:rPr>
        <w:t>a</w:t>
      </w:r>
      <w:r w:rsidRPr="005B4DBE">
        <w:rPr>
          <w:rFonts w:asciiTheme="minorHAnsi" w:eastAsia="TimesNewRomanPSMT" w:hAnsiTheme="minorHAnsi" w:cstheme="minorHAnsi"/>
          <w:sz w:val="24"/>
          <w:szCs w:val="24"/>
          <w:lang w:val="en-US"/>
        </w:rPr>
        <w:t>ccepērunt</w:t>
      </w:r>
      <w:proofErr w:type="spellEnd"/>
      <w:r w:rsidRPr="005B4DBE">
        <w:rPr>
          <w:rFonts w:eastAsia="TimesNewRomanPSMT" w:cstheme="minorHAnsi"/>
          <w:sz w:val="24"/>
          <w:szCs w:val="24"/>
          <w:lang w:val="en-US"/>
        </w:rPr>
        <w:t>:</w:t>
      </w:r>
      <w:r w:rsidR="000646F2">
        <w:rPr>
          <w:rFonts w:eastAsia="TimesNewRomanPSMT" w:cstheme="minorHAnsi"/>
          <w:sz w:val="24"/>
          <w:szCs w:val="24"/>
          <w:lang w:val="en-US"/>
        </w:rPr>
        <w:t xml:space="preserve"> </w:t>
      </w:r>
      <w:proofErr w:type="spellStart"/>
      <w:r w:rsidR="000646F2">
        <w:rPr>
          <w:rFonts w:eastAsia="TimesNewRomanPSMT" w:cstheme="minorHAnsi"/>
          <w:sz w:val="24"/>
          <w:szCs w:val="24"/>
          <w:lang w:val="en-US"/>
        </w:rPr>
        <w:t>accipiebaris-accipiebare</w:t>
      </w:r>
      <w:proofErr w:type="spellEnd"/>
    </w:p>
    <w:p w14:paraId="4C9AC3C4" w14:textId="021BE50A" w:rsidR="005B4DBE" w:rsidRPr="000646F2" w:rsidRDefault="005B4DBE" w:rsidP="005B4DBE">
      <w:pPr>
        <w:spacing w:after="0" w:line="360" w:lineRule="auto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 w:rsidRPr="005B4DBE">
        <w:rPr>
          <w:rFonts w:eastAsia="TimesNewRomanPSMT" w:cstheme="minorHAnsi"/>
          <w:sz w:val="24"/>
          <w:szCs w:val="24"/>
          <w:lang w:val="en-US"/>
        </w:rPr>
        <w:t>d</w:t>
      </w:r>
      <w:r w:rsidRPr="005B4DBE">
        <w:rPr>
          <w:rFonts w:asciiTheme="minorHAnsi" w:eastAsia="TimesNewRomanPSMT" w:hAnsiTheme="minorHAnsi" w:cstheme="minorHAnsi"/>
          <w:sz w:val="24"/>
          <w:szCs w:val="24"/>
          <w:lang w:val="en-US"/>
        </w:rPr>
        <w:t>ivīsam</w:t>
      </w:r>
      <w:proofErr w:type="spellEnd"/>
      <w:r w:rsidRPr="005B4DBE">
        <w:rPr>
          <w:rFonts w:eastAsia="TimesNewRomanPSMT" w:cstheme="minorHAnsi"/>
          <w:sz w:val="24"/>
          <w:szCs w:val="24"/>
          <w:lang w:val="en-US"/>
        </w:rPr>
        <w:t>:</w:t>
      </w:r>
      <w:r w:rsidR="000646F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="000646F2">
        <w:rPr>
          <w:rFonts w:eastAsia="TimesNewRomanPSMT" w:cstheme="minorHAnsi"/>
          <w:sz w:val="24"/>
          <w:szCs w:val="24"/>
          <w:lang w:val="en-US"/>
        </w:rPr>
        <w:t>divisuram</w:t>
      </w:r>
      <w:proofErr w:type="spellEnd"/>
      <w:r w:rsidR="000646F2">
        <w:rPr>
          <w:rFonts w:eastAsia="TimesNewRomanPSMT" w:cstheme="minorHAnsi"/>
          <w:sz w:val="24"/>
          <w:szCs w:val="24"/>
          <w:lang w:val="en-US"/>
        </w:rPr>
        <w:t xml:space="preserve"> </w:t>
      </w:r>
      <w:proofErr w:type="spellStart"/>
      <w:r w:rsidR="000646F2">
        <w:rPr>
          <w:rFonts w:eastAsia="TimesNewRomanPSMT" w:cstheme="minorHAnsi"/>
          <w:sz w:val="24"/>
          <w:szCs w:val="24"/>
          <w:lang w:val="en-US"/>
        </w:rPr>
        <w:t>esse</w:t>
      </w:r>
      <w:proofErr w:type="spellEnd"/>
    </w:p>
    <w:p w14:paraId="68551968" w14:textId="008B44E0" w:rsidR="005B4DBE" w:rsidRPr="000646F2" w:rsidRDefault="005B4DBE" w:rsidP="005B4DBE">
      <w:pPr>
        <w:spacing w:after="0" w:line="360" w:lineRule="auto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 w:rsidRPr="005B4DBE">
        <w:rPr>
          <w:rFonts w:eastAsia="TimesNewRomanPSMT" w:cstheme="minorHAnsi"/>
          <w:sz w:val="24"/>
          <w:szCs w:val="24"/>
          <w:lang w:val="en-US"/>
        </w:rPr>
        <w:t>a</w:t>
      </w:r>
      <w:r w:rsidRPr="005B4DBE">
        <w:rPr>
          <w:rFonts w:asciiTheme="minorHAnsi" w:eastAsia="TimesNewRomanPSMT" w:hAnsiTheme="minorHAnsi" w:cstheme="minorHAnsi"/>
          <w:sz w:val="24"/>
          <w:szCs w:val="24"/>
          <w:lang w:val="en-US"/>
        </w:rPr>
        <w:t>bsens</w:t>
      </w:r>
      <w:proofErr w:type="spellEnd"/>
      <w:r w:rsidRPr="005B4DBE">
        <w:rPr>
          <w:rFonts w:eastAsia="TimesNewRomanPSMT" w:cstheme="minorHAnsi"/>
          <w:sz w:val="24"/>
          <w:szCs w:val="24"/>
          <w:lang w:val="en-US"/>
        </w:rPr>
        <w:t>:</w:t>
      </w:r>
      <w:r w:rsidR="000646F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="000646F2">
        <w:rPr>
          <w:rFonts w:eastAsia="TimesNewRomanPSMT" w:cstheme="minorHAnsi"/>
          <w:sz w:val="24"/>
          <w:szCs w:val="24"/>
          <w:lang w:val="en-US"/>
        </w:rPr>
        <w:t>afuisset</w:t>
      </w:r>
      <w:proofErr w:type="spellEnd"/>
    </w:p>
    <w:p w14:paraId="23BC9781" w14:textId="1548E4F4" w:rsidR="005B4DBE" w:rsidRPr="000646F2" w:rsidRDefault="005B4DBE" w:rsidP="005B4DBE">
      <w:pPr>
        <w:spacing w:after="0" w:line="360" w:lineRule="auto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 w:rsidRPr="005B4DBE">
        <w:rPr>
          <w:rFonts w:eastAsia="TimesNewRomanPSMT" w:cstheme="minorHAnsi"/>
          <w:sz w:val="24"/>
          <w:szCs w:val="24"/>
          <w:lang w:val="en-US"/>
        </w:rPr>
        <w:t>a</w:t>
      </w:r>
      <w:r w:rsidRPr="005B4DBE">
        <w:rPr>
          <w:rFonts w:asciiTheme="minorHAnsi" w:eastAsia="TimesNewRomanPSMT" w:hAnsiTheme="minorHAnsi" w:cstheme="minorHAnsi"/>
          <w:sz w:val="24"/>
          <w:szCs w:val="24"/>
          <w:lang w:val="en-US"/>
        </w:rPr>
        <w:t>beuntes</w:t>
      </w:r>
      <w:proofErr w:type="spellEnd"/>
      <w:r w:rsidRPr="005B4DBE">
        <w:rPr>
          <w:rFonts w:eastAsia="TimesNewRomanPSMT" w:cstheme="minorHAnsi"/>
          <w:sz w:val="24"/>
          <w:szCs w:val="24"/>
          <w:lang w:val="en-US"/>
        </w:rPr>
        <w:t>:</w:t>
      </w:r>
      <w:r w:rsidR="000646F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="000646F2">
        <w:rPr>
          <w:rFonts w:eastAsia="TimesNewRomanPSMT" w:cstheme="minorHAnsi"/>
          <w:sz w:val="24"/>
          <w:szCs w:val="24"/>
          <w:lang w:val="en-US"/>
        </w:rPr>
        <w:t>abeant</w:t>
      </w:r>
      <w:proofErr w:type="spellEnd"/>
    </w:p>
    <w:p w14:paraId="150CF8D9" w14:textId="585DE9ED" w:rsidR="005B4DBE" w:rsidRPr="000646F2" w:rsidRDefault="000646F2" w:rsidP="005B4DBE">
      <w:pPr>
        <w:spacing w:after="0" w:line="360" w:lineRule="auto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>
        <w:rPr>
          <w:rFonts w:asciiTheme="minorHAnsi" w:eastAsia="TimesNewRomanPSMT" w:hAnsiTheme="minorHAnsi" w:cstheme="minorHAnsi"/>
          <w:sz w:val="24"/>
          <w:szCs w:val="24"/>
          <w:lang w:val="en-US"/>
        </w:rPr>
        <w:t>edixit</w:t>
      </w:r>
      <w:proofErr w:type="spellEnd"/>
      <w:r>
        <w:rPr>
          <w:rFonts w:asciiTheme="minorHAnsi" w:eastAsia="TimesNewRomanPSMT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eastAsia="TimesNewRomanPSMT" w:hAnsiTheme="minorHAnsi" w:cstheme="minorHAnsi"/>
          <w:sz w:val="24"/>
          <w:szCs w:val="24"/>
          <w:lang w:val="en-US"/>
        </w:rPr>
        <w:t>edic</w:t>
      </w:r>
      <w:proofErr w:type="spellEnd"/>
    </w:p>
    <w:p w14:paraId="2DB34D2A" w14:textId="3A7E0BD8" w:rsidR="005B4DBE" w:rsidRPr="0099074A" w:rsidRDefault="005B4DBE" w:rsidP="005B4DBE">
      <w:pPr>
        <w:spacing w:after="0" w:line="360" w:lineRule="auto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 w:rsidRPr="0099074A">
        <w:rPr>
          <w:rFonts w:asciiTheme="minorHAnsi" w:eastAsia="TimesNewRomanPSMT" w:hAnsiTheme="minorHAnsi" w:cstheme="minorHAnsi"/>
          <w:sz w:val="24"/>
          <w:szCs w:val="24"/>
          <w:lang w:val="en-US"/>
        </w:rPr>
        <w:t>abstinērent</w:t>
      </w:r>
      <w:proofErr w:type="spellEnd"/>
      <w:r w:rsidRPr="0099074A">
        <w:rPr>
          <w:rFonts w:eastAsia="TimesNewRomanPSMT" w:cstheme="minorHAnsi"/>
          <w:sz w:val="24"/>
          <w:szCs w:val="24"/>
          <w:lang w:val="en-US"/>
        </w:rPr>
        <w:t>:</w:t>
      </w:r>
      <w:r w:rsidR="000646F2" w:rsidRPr="0099074A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="000646F2" w:rsidRPr="0099074A">
        <w:rPr>
          <w:rFonts w:eastAsia="TimesNewRomanPSMT" w:cstheme="minorHAnsi"/>
          <w:sz w:val="24"/>
          <w:szCs w:val="24"/>
          <w:lang w:val="en-US"/>
        </w:rPr>
        <w:t>abstin</w:t>
      </w:r>
      <w:proofErr w:type="spellEnd"/>
      <w:r w:rsidR="000646F2" w:rsidRPr="0099074A">
        <w:rPr>
          <w:rFonts w:eastAsia="TimesNewRomanPSMT" w:cstheme="minorHAnsi"/>
          <w:sz w:val="24"/>
          <w:szCs w:val="24"/>
        </w:rPr>
        <w:t>ē</w:t>
      </w:r>
      <w:proofErr w:type="spellStart"/>
      <w:r w:rsidR="000646F2" w:rsidRPr="0099074A">
        <w:rPr>
          <w:rFonts w:eastAsia="TimesNewRomanPSMT" w:cstheme="minorHAnsi"/>
          <w:sz w:val="24"/>
          <w:szCs w:val="24"/>
          <w:lang w:val="en-US"/>
        </w:rPr>
        <w:t>rentur</w:t>
      </w:r>
      <w:proofErr w:type="spellEnd"/>
    </w:p>
    <w:p w14:paraId="52A3FDCD" w14:textId="30E3A310" w:rsidR="005B4DBE" w:rsidRPr="006E60E7" w:rsidRDefault="005B4DBE" w:rsidP="005B4DBE">
      <w:pPr>
        <w:spacing w:after="0" w:line="360" w:lineRule="auto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 w:rsidRPr="005B4DBE">
        <w:rPr>
          <w:rFonts w:asciiTheme="minorHAnsi" w:eastAsia="TimesNewRomanPSMT" w:hAnsiTheme="minorHAnsi" w:cstheme="minorHAnsi"/>
          <w:sz w:val="24"/>
          <w:szCs w:val="24"/>
          <w:lang w:val="en-US"/>
        </w:rPr>
        <w:t>lacessītus</w:t>
      </w:r>
      <w:proofErr w:type="spellEnd"/>
      <w:r w:rsidRPr="005B4DBE">
        <w:rPr>
          <w:rFonts w:asciiTheme="minorHAnsi" w:eastAsia="TimesNewRomanPSMT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B4DBE">
        <w:rPr>
          <w:rFonts w:asciiTheme="minorHAnsi" w:eastAsia="TimesNewRomanPSMT" w:hAnsiTheme="minorHAnsi" w:cstheme="minorHAnsi"/>
          <w:sz w:val="24"/>
          <w:szCs w:val="24"/>
          <w:lang w:val="en-US"/>
        </w:rPr>
        <w:t>est</w:t>
      </w:r>
      <w:proofErr w:type="spellEnd"/>
      <w:r w:rsidRPr="005B4DBE">
        <w:rPr>
          <w:rFonts w:eastAsia="TimesNewRomanPSMT" w:cstheme="minorHAnsi"/>
          <w:sz w:val="24"/>
          <w:szCs w:val="24"/>
          <w:lang w:val="en-US"/>
        </w:rPr>
        <w:t>:</w:t>
      </w:r>
      <w:r w:rsidR="006E60E7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="006E60E7">
        <w:rPr>
          <w:rFonts w:eastAsia="TimesNewRomanPSMT" w:cstheme="minorHAnsi"/>
          <w:sz w:val="24"/>
          <w:szCs w:val="24"/>
          <w:lang w:val="en-US"/>
        </w:rPr>
        <w:t>lacessivimus</w:t>
      </w:r>
      <w:proofErr w:type="spellEnd"/>
    </w:p>
    <w:p w14:paraId="784C8E7D" w14:textId="69466D84" w:rsidR="005B4DBE" w:rsidRPr="006109A9" w:rsidRDefault="005B4DBE" w:rsidP="005B4DBE">
      <w:pPr>
        <w:spacing w:after="0" w:line="360" w:lineRule="auto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 w:rsidRPr="005B4DBE">
        <w:rPr>
          <w:rFonts w:asciiTheme="minorHAnsi" w:eastAsia="TimesNewRomanPSMT" w:hAnsiTheme="minorHAnsi" w:cstheme="minorHAnsi"/>
          <w:sz w:val="24"/>
          <w:szCs w:val="24"/>
          <w:lang w:val="en-US"/>
        </w:rPr>
        <w:t>Congrediāmur</w:t>
      </w:r>
      <w:proofErr w:type="spellEnd"/>
      <w:r w:rsidRPr="005B4DBE">
        <w:rPr>
          <w:rFonts w:eastAsia="TimesNewRomanPSMT" w:cstheme="minorHAnsi"/>
          <w:sz w:val="24"/>
          <w:szCs w:val="24"/>
          <w:lang w:val="en-US"/>
        </w:rPr>
        <w:t>:</w:t>
      </w:r>
      <w:r w:rsidR="006109A9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="006109A9">
        <w:rPr>
          <w:rFonts w:eastAsia="TimesNewRomanPSMT" w:cstheme="minorHAnsi"/>
          <w:sz w:val="24"/>
          <w:szCs w:val="24"/>
          <w:lang w:val="en-US"/>
        </w:rPr>
        <w:t>congredienti</w:t>
      </w:r>
      <w:proofErr w:type="spellEnd"/>
    </w:p>
    <w:p w14:paraId="2C035CA1" w14:textId="3B0D1357" w:rsidR="005B4DBE" w:rsidRPr="000646F2" w:rsidRDefault="005B4DBE" w:rsidP="005B4DBE">
      <w:pPr>
        <w:spacing w:after="0" w:line="360" w:lineRule="auto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 w:rsidRPr="005B4DBE">
        <w:rPr>
          <w:rFonts w:eastAsia="TimesNewRomanPSMT" w:cstheme="minorHAnsi"/>
          <w:sz w:val="24"/>
          <w:szCs w:val="24"/>
          <w:lang w:val="en-US"/>
        </w:rPr>
        <w:t>r</w:t>
      </w:r>
      <w:r w:rsidRPr="005B4DBE">
        <w:rPr>
          <w:rFonts w:asciiTheme="minorHAnsi" w:eastAsia="TimesNewRomanPSMT" w:hAnsiTheme="minorHAnsi" w:cstheme="minorHAnsi"/>
          <w:sz w:val="24"/>
          <w:szCs w:val="24"/>
          <w:lang w:val="en-US"/>
        </w:rPr>
        <w:t>uit</w:t>
      </w:r>
      <w:proofErr w:type="spellEnd"/>
      <w:r w:rsidRPr="005B4DBE">
        <w:rPr>
          <w:rFonts w:eastAsia="TimesNewRomanPSMT" w:cstheme="minorHAnsi"/>
          <w:sz w:val="24"/>
          <w:szCs w:val="24"/>
          <w:lang w:val="en-US"/>
        </w:rPr>
        <w:t>:</w:t>
      </w:r>
      <w:r w:rsidR="000646F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="000646F2">
        <w:rPr>
          <w:rFonts w:eastAsia="TimesNewRomanPSMT" w:cstheme="minorHAnsi"/>
          <w:sz w:val="24"/>
          <w:szCs w:val="24"/>
          <w:lang w:val="en-US"/>
        </w:rPr>
        <w:t>ruituro</w:t>
      </w:r>
      <w:proofErr w:type="spellEnd"/>
    </w:p>
    <w:p w14:paraId="3815289A" w14:textId="1EC36AB3" w:rsidR="00216F76" w:rsidRDefault="00216F76" w:rsidP="00E51A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9E104D5" w14:textId="77777777" w:rsidR="00216F76" w:rsidRPr="00416AF8" w:rsidRDefault="00216F76" w:rsidP="00E51A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sectPr w:rsidR="00216F76" w:rsidRPr="00416AF8" w:rsidSect="00E51A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FC3"/>
    <w:multiLevelType w:val="hybridMultilevel"/>
    <w:tmpl w:val="E5E4D9A6"/>
    <w:lvl w:ilvl="0" w:tplc="3A74BF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4C18"/>
    <w:multiLevelType w:val="hybridMultilevel"/>
    <w:tmpl w:val="87AA11EE"/>
    <w:lvl w:ilvl="0" w:tplc="575857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2651"/>
    <w:multiLevelType w:val="hybridMultilevel"/>
    <w:tmpl w:val="97DC69DA"/>
    <w:lvl w:ilvl="0" w:tplc="628AAC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7874"/>
    <w:multiLevelType w:val="hybridMultilevel"/>
    <w:tmpl w:val="4E06C6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A634D"/>
    <w:multiLevelType w:val="hybridMultilevel"/>
    <w:tmpl w:val="824296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3383A"/>
    <w:multiLevelType w:val="hybridMultilevel"/>
    <w:tmpl w:val="83220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A3B38"/>
    <w:multiLevelType w:val="hybridMultilevel"/>
    <w:tmpl w:val="F24630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621B9"/>
    <w:multiLevelType w:val="hybridMultilevel"/>
    <w:tmpl w:val="1E7A9110"/>
    <w:lvl w:ilvl="0" w:tplc="121055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1E2E"/>
    <w:multiLevelType w:val="hybridMultilevel"/>
    <w:tmpl w:val="28EE94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869366">
    <w:abstractNumId w:val="6"/>
  </w:num>
  <w:num w:numId="2" w16cid:durableId="1127553389">
    <w:abstractNumId w:val="3"/>
  </w:num>
  <w:num w:numId="3" w16cid:durableId="202133203">
    <w:abstractNumId w:val="7"/>
  </w:num>
  <w:num w:numId="4" w16cid:durableId="773285508">
    <w:abstractNumId w:val="0"/>
  </w:num>
  <w:num w:numId="5" w16cid:durableId="1495105272">
    <w:abstractNumId w:val="1"/>
  </w:num>
  <w:num w:numId="6" w16cid:durableId="943877969">
    <w:abstractNumId w:val="2"/>
  </w:num>
  <w:num w:numId="7" w16cid:durableId="462773774">
    <w:abstractNumId w:val="4"/>
  </w:num>
  <w:num w:numId="8" w16cid:durableId="195310324">
    <w:abstractNumId w:val="8"/>
  </w:num>
  <w:num w:numId="9" w16cid:durableId="1974748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7B7"/>
    <w:rsid w:val="000042B7"/>
    <w:rsid w:val="000049B6"/>
    <w:rsid w:val="00005F31"/>
    <w:rsid w:val="00011AAB"/>
    <w:rsid w:val="00017961"/>
    <w:rsid w:val="000241D2"/>
    <w:rsid w:val="00041155"/>
    <w:rsid w:val="00052469"/>
    <w:rsid w:val="00052F06"/>
    <w:rsid w:val="00060284"/>
    <w:rsid w:val="0006367F"/>
    <w:rsid w:val="000646F2"/>
    <w:rsid w:val="000A2F3B"/>
    <w:rsid w:val="000B19D0"/>
    <w:rsid w:val="000B2C6E"/>
    <w:rsid w:val="000B52EA"/>
    <w:rsid w:val="000F1265"/>
    <w:rsid w:val="00101F4C"/>
    <w:rsid w:val="00114FA2"/>
    <w:rsid w:val="00117B14"/>
    <w:rsid w:val="00122B56"/>
    <w:rsid w:val="00141A55"/>
    <w:rsid w:val="00142974"/>
    <w:rsid w:val="00146592"/>
    <w:rsid w:val="00150AF9"/>
    <w:rsid w:val="00155934"/>
    <w:rsid w:val="00171EA3"/>
    <w:rsid w:val="001801DB"/>
    <w:rsid w:val="00183162"/>
    <w:rsid w:val="00193803"/>
    <w:rsid w:val="001A60CC"/>
    <w:rsid w:val="001A6F92"/>
    <w:rsid w:val="001B5777"/>
    <w:rsid w:val="001B7228"/>
    <w:rsid w:val="001B7BCB"/>
    <w:rsid w:val="001C2A12"/>
    <w:rsid w:val="001C7301"/>
    <w:rsid w:val="001D0C7F"/>
    <w:rsid w:val="001E4B85"/>
    <w:rsid w:val="00201DA3"/>
    <w:rsid w:val="00203F3D"/>
    <w:rsid w:val="00206F67"/>
    <w:rsid w:val="00216F76"/>
    <w:rsid w:val="00224A7A"/>
    <w:rsid w:val="002424F9"/>
    <w:rsid w:val="002452B9"/>
    <w:rsid w:val="002611F8"/>
    <w:rsid w:val="00284BBD"/>
    <w:rsid w:val="00285578"/>
    <w:rsid w:val="002937BB"/>
    <w:rsid w:val="002A56EB"/>
    <w:rsid w:val="002B269D"/>
    <w:rsid w:val="002B5342"/>
    <w:rsid w:val="002C17F6"/>
    <w:rsid w:val="002D06A1"/>
    <w:rsid w:val="0030428E"/>
    <w:rsid w:val="0032798D"/>
    <w:rsid w:val="0035766A"/>
    <w:rsid w:val="00364AC1"/>
    <w:rsid w:val="00367DE0"/>
    <w:rsid w:val="0037302B"/>
    <w:rsid w:val="0038363F"/>
    <w:rsid w:val="003851C4"/>
    <w:rsid w:val="00390077"/>
    <w:rsid w:val="003B1803"/>
    <w:rsid w:val="003E42A6"/>
    <w:rsid w:val="00416AF8"/>
    <w:rsid w:val="00423F12"/>
    <w:rsid w:val="004420A5"/>
    <w:rsid w:val="00467D70"/>
    <w:rsid w:val="004775A6"/>
    <w:rsid w:val="0048459D"/>
    <w:rsid w:val="00492D01"/>
    <w:rsid w:val="00497F11"/>
    <w:rsid w:val="004A2FF2"/>
    <w:rsid w:val="004D7B73"/>
    <w:rsid w:val="004E4455"/>
    <w:rsid w:val="004F2671"/>
    <w:rsid w:val="005021EF"/>
    <w:rsid w:val="005158CC"/>
    <w:rsid w:val="0054689E"/>
    <w:rsid w:val="00557104"/>
    <w:rsid w:val="00580EC9"/>
    <w:rsid w:val="005869BF"/>
    <w:rsid w:val="005927D0"/>
    <w:rsid w:val="00595F68"/>
    <w:rsid w:val="005A0EF1"/>
    <w:rsid w:val="005A11D4"/>
    <w:rsid w:val="005A7C54"/>
    <w:rsid w:val="005B1C07"/>
    <w:rsid w:val="005B4DBE"/>
    <w:rsid w:val="005C18CD"/>
    <w:rsid w:val="005C5862"/>
    <w:rsid w:val="005C6F5A"/>
    <w:rsid w:val="005D14C7"/>
    <w:rsid w:val="005E5321"/>
    <w:rsid w:val="005E69F8"/>
    <w:rsid w:val="005F3D03"/>
    <w:rsid w:val="00601DCA"/>
    <w:rsid w:val="006109A9"/>
    <w:rsid w:val="00611131"/>
    <w:rsid w:val="006369D9"/>
    <w:rsid w:val="0064266D"/>
    <w:rsid w:val="00646454"/>
    <w:rsid w:val="0065274F"/>
    <w:rsid w:val="00663E5E"/>
    <w:rsid w:val="00667926"/>
    <w:rsid w:val="00681466"/>
    <w:rsid w:val="00683A7D"/>
    <w:rsid w:val="00685FF6"/>
    <w:rsid w:val="00691CE7"/>
    <w:rsid w:val="00694741"/>
    <w:rsid w:val="006B0617"/>
    <w:rsid w:val="006B196C"/>
    <w:rsid w:val="006B2A21"/>
    <w:rsid w:val="006B59B6"/>
    <w:rsid w:val="006C5F80"/>
    <w:rsid w:val="006C7B77"/>
    <w:rsid w:val="006D022B"/>
    <w:rsid w:val="006D1CC0"/>
    <w:rsid w:val="006E5149"/>
    <w:rsid w:val="006E60E7"/>
    <w:rsid w:val="006F0852"/>
    <w:rsid w:val="006F3672"/>
    <w:rsid w:val="0071005E"/>
    <w:rsid w:val="007177C8"/>
    <w:rsid w:val="00742A29"/>
    <w:rsid w:val="00772202"/>
    <w:rsid w:val="0078321D"/>
    <w:rsid w:val="00797C8B"/>
    <w:rsid w:val="007A4364"/>
    <w:rsid w:val="007C0229"/>
    <w:rsid w:val="007C2AD3"/>
    <w:rsid w:val="007C3284"/>
    <w:rsid w:val="007D6EC9"/>
    <w:rsid w:val="007E6315"/>
    <w:rsid w:val="0081581E"/>
    <w:rsid w:val="008274F3"/>
    <w:rsid w:val="008353EF"/>
    <w:rsid w:val="00856A43"/>
    <w:rsid w:val="008833EE"/>
    <w:rsid w:val="00886D52"/>
    <w:rsid w:val="00895EF0"/>
    <w:rsid w:val="008A25F3"/>
    <w:rsid w:val="008B08A6"/>
    <w:rsid w:val="008B4103"/>
    <w:rsid w:val="008C1A42"/>
    <w:rsid w:val="008C6391"/>
    <w:rsid w:val="0090234F"/>
    <w:rsid w:val="009034DF"/>
    <w:rsid w:val="00903AFD"/>
    <w:rsid w:val="00904270"/>
    <w:rsid w:val="009127E8"/>
    <w:rsid w:val="00912FC2"/>
    <w:rsid w:val="00931027"/>
    <w:rsid w:val="00931069"/>
    <w:rsid w:val="00944B0D"/>
    <w:rsid w:val="00953E04"/>
    <w:rsid w:val="009617B7"/>
    <w:rsid w:val="00961D09"/>
    <w:rsid w:val="00963F68"/>
    <w:rsid w:val="0096790E"/>
    <w:rsid w:val="00967B6C"/>
    <w:rsid w:val="00972609"/>
    <w:rsid w:val="0099074A"/>
    <w:rsid w:val="00997CDE"/>
    <w:rsid w:val="009A16DC"/>
    <w:rsid w:val="009E0025"/>
    <w:rsid w:val="009E0339"/>
    <w:rsid w:val="009E2D71"/>
    <w:rsid w:val="009F1F66"/>
    <w:rsid w:val="009F230D"/>
    <w:rsid w:val="009F2C64"/>
    <w:rsid w:val="00A129F9"/>
    <w:rsid w:val="00A172F5"/>
    <w:rsid w:val="00A24F86"/>
    <w:rsid w:val="00A27D4C"/>
    <w:rsid w:val="00A44ED1"/>
    <w:rsid w:val="00A50902"/>
    <w:rsid w:val="00A51511"/>
    <w:rsid w:val="00A527FE"/>
    <w:rsid w:val="00A87770"/>
    <w:rsid w:val="00A96A24"/>
    <w:rsid w:val="00AA6B6E"/>
    <w:rsid w:val="00AA79E2"/>
    <w:rsid w:val="00AE020C"/>
    <w:rsid w:val="00AE7180"/>
    <w:rsid w:val="00AF0378"/>
    <w:rsid w:val="00B06F91"/>
    <w:rsid w:val="00B07C60"/>
    <w:rsid w:val="00B10240"/>
    <w:rsid w:val="00B15157"/>
    <w:rsid w:val="00B17D5B"/>
    <w:rsid w:val="00B56D08"/>
    <w:rsid w:val="00B60F50"/>
    <w:rsid w:val="00B6176B"/>
    <w:rsid w:val="00B6547F"/>
    <w:rsid w:val="00B7117D"/>
    <w:rsid w:val="00B7303D"/>
    <w:rsid w:val="00BC1645"/>
    <w:rsid w:val="00BC78F1"/>
    <w:rsid w:val="00BE0F4D"/>
    <w:rsid w:val="00BF3341"/>
    <w:rsid w:val="00BF39BD"/>
    <w:rsid w:val="00C0300A"/>
    <w:rsid w:val="00C06B6C"/>
    <w:rsid w:val="00C06F1D"/>
    <w:rsid w:val="00C248B7"/>
    <w:rsid w:val="00C25E8E"/>
    <w:rsid w:val="00C272CF"/>
    <w:rsid w:val="00C3277F"/>
    <w:rsid w:val="00C436B6"/>
    <w:rsid w:val="00C635B1"/>
    <w:rsid w:val="00C64684"/>
    <w:rsid w:val="00C678D6"/>
    <w:rsid w:val="00CB2170"/>
    <w:rsid w:val="00D0548D"/>
    <w:rsid w:val="00D4521B"/>
    <w:rsid w:val="00D62BF0"/>
    <w:rsid w:val="00D63BA1"/>
    <w:rsid w:val="00D76D9B"/>
    <w:rsid w:val="00D859FB"/>
    <w:rsid w:val="00D86247"/>
    <w:rsid w:val="00D916CB"/>
    <w:rsid w:val="00DC1E13"/>
    <w:rsid w:val="00DC4242"/>
    <w:rsid w:val="00DE1474"/>
    <w:rsid w:val="00DF0649"/>
    <w:rsid w:val="00E02F20"/>
    <w:rsid w:val="00E33D7E"/>
    <w:rsid w:val="00E451CD"/>
    <w:rsid w:val="00E455BB"/>
    <w:rsid w:val="00E51AE0"/>
    <w:rsid w:val="00E5464C"/>
    <w:rsid w:val="00E73FFE"/>
    <w:rsid w:val="00E86EF8"/>
    <w:rsid w:val="00E90A33"/>
    <w:rsid w:val="00E95DD9"/>
    <w:rsid w:val="00E95FCA"/>
    <w:rsid w:val="00EB0F49"/>
    <w:rsid w:val="00EB2AEF"/>
    <w:rsid w:val="00ED3A25"/>
    <w:rsid w:val="00ED774E"/>
    <w:rsid w:val="00EF683E"/>
    <w:rsid w:val="00F258C7"/>
    <w:rsid w:val="00F33FAC"/>
    <w:rsid w:val="00F350DD"/>
    <w:rsid w:val="00F5755E"/>
    <w:rsid w:val="00F70EB8"/>
    <w:rsid w:val="00F75F86"/>
    <w:rsid w:val="00FB47E5"/>
    <w:rsid w:val="00FD7212"/>
    <w:rsid w:val="00FD728E"/>
    <w:rsid w:val="00FE48D8"/>
    <w:rsid w:val="00FF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5964"/>
  <w15:docId w15:val="{AB53E13A-B575-4941-BE57-FFB9F61B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B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57104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55710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557104"/>
    <w:rPr>
      <w:rFonts w:ascii="Calibri" w:eastAsia="Times New Roman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67B6C"/>
    <w:pPr>
      <w:ind w:left="720"/>
      <w:contextualSpacing/>
    </w:pPr>
  </w:style>
  <w:style w:type="paragraph" w:styleId="Web">
    <w:name w:val="Normal (Web)"/>
    <w:basedOn w:val="a"/>
    <w:rsid w:val="00D76D9B"/>
    <w:pPr>
      <w:spacing w:after="0" w:line="240" w:lineRule="auto"/>
      <w:ind w:firstLine="284"/>
    </w:pPr>
    <w:rPr>
      <w:rFonts w:ascii="Verdana" w:hAnsi="Verdana"/>
      <w:sz w:val="24"/>
      <w:szCs w:val="24"/>
      <w:lang w:eastAsia="el-GR"/>
    </w:rPr>
  </w:style>
  <w:style w:type="table" w:customStyle="1" w:styleId="1">
    <w:name w:val="Πλέγμα πίνακα1"/>
    <w:basedOn w:val="a1"/>
    <w:next w:val="a3"/>
    <w:uiPriority w:val="39"/>
    <w:rsid w:val="00AA6B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E5149"/>
    <w:rPr>
      <w:rFonts w:ascii="TimesNewRomanPSMT" w:eastAsia="TimesNewRomanPSMT" w:hint="eastAsia"/>
      <w:b w:val="0"/>
      <w:bCs w:val="0"/>
      <w:i w:val="0"/>
      <w:iCs w:val="0"/>
      <w:color w:val="242021"/>
      <w:sz w:val="26"/>
      <w:szCs w:val="26"/>
    </w:rPr>
  </w:style>
  <w:style w:type="paragraph" w:styleId="a7">
    <w:name w:val="No Spacing"/>
    <w:uiPriority w:val="1"/>
    <w:qFormat/>
    <w:rsid w:val="005C58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B8CA-E869-45B3-A52B-3D83A4F1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PANTELHS</dc:creator>
  <cp:keywords/>
  <dc:description/>
  <cp:lastModifiedBy>pan varra</cp:lastModifiedBy>
  <cp:revision>136</cp:revision>
  <cp:lastPrinted>2023-01-16T21:38:00Z</cp:lastPrinted>
  <dcterms:created xsi:type="dcterms:W3CDTF">2022-03-08T16:54:00Z</dcterms:created>
  <dcterms:modified xsi:type="dcterms:W3CDTF">2023-02-26T05:27:00Z</dcterms:modified>
</cp:coreProperties>
</file>