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5B" w:rsidRDefault="0045205B" w:rsidP="004C6DED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45205B">
        <w:rPr>
          <w:rFonts w:asciiTheme="minorHAnsi" w:hAnsiTheme="minorHAnsi" w:cstheme="minorHAnsi"/>
          <w:b/>
        </w:rPr>
        <w:t>ΕΝΔΕΙΚΤΙΚΕΣ ΑΠΑΝΤΗΣΕΙΣ</w:t>
      </w:r>
    </w:p>
    <w:p w:rsidR="006B2C7C" w:rsidRPr="009D01BA" w:rsidRDefault="418D7890" w:rsidP="002B15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24E">
        <w:rPr>
          <w:rFonts w:eastAsia="Times New Roman" w:cstheme="minorHAnsi"/>
          <w:b/>
          <w:bCs/>
          <w:sz w:val="24"/>
          <w:szCs w:val="24"/>
        </w:rPr>
        <w:t>3.α</w:t>
      </w:r>
      <w:r w:rsidR="002B1541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2B1541">
        <w:rPr>
          <w:rFonts w:eastAsia="Calibri" w:cstheme="minorHAnsi"/>
          <w:color w:val="000000" w:themeColor="text1"/>
          <w:sz w:val="24"/>
          <w:szCs w:val="24"/>
        </w:rPr>
        <w:t>Για την απάντηση στο ερώτημα οι μαθητές/-τριες αναμένεται, μέσα από την κριτική ανάγνωση του παραθέματος (</w:t>
      </w:r>
      <w:r w:rsidR="002B1541" w:rsidRPr="002B1541">
        <w:rPr>
          <w:rFonts w:eastAsia="Calibri" w:cstheme="minorHAnsi"/>
          <w:b/>
          <w:color w:val="000000" w:themeColor="text1"/>
          <w:sz w:val="24"/>
          <w:szCs w:val="24"/>
        </w:rPr>
        <w:t>ΚΕΙΜΕΝΟ Α</w:t>
      </w:r>
      <w:r w:rsidR="002B1541">
        <w:rPr>
          <w:rFonts w:eastAsia="Calibri" w:cstheme="minorHAnsi"/>
          <w:color w:val="000000" w:themeColor="text1"/>
          <w:sz w:val="24"/>
          <w:szCs w:val="24"/>
        </w:rPr>
        <w:t xml:space="preserve">), να αξιοποιήσουν τις κατάλληλες πληροφορίες: </w:t>
      </w:r>
    </w:p>
    <w:p w:rsidR="006B2C7C" w:rsidRPr="009D01BA" w:rsidRDefault="418D7890" w:rsidP="002B1541">
      <w:pPr>
        <w:pStyle w:val="a4"/>
        <w:numPr>
          <w:ilvl w:val="0"/>
          <w:numId w:val="1"/>
        </w:numPr>
        <w:spacing w:after="0" w:line="360" w:lineRule="auto"/>
        <w:ind w:left="504" w:hanging="14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9D01BA">
        <w:rPr>
          <w:rFonts w:eastAsia="Calibri" w:cstheme="minorHAnsi"/>
          <w:iCs/>
          <w:color w:val="000000" w:themeColor="text1"/>
          <w:sz w:val="24"/>
          <w:szCs w:val="24"/>
        </w:rPr>
        <w:t>«Ο ίδιος ο αυτοκράτορας ξεχώρισε ένα κομμάτι γης, αρόσιμο και κατάλληλο για αμπελουργία»</w:t>
      </w:r>
    </w:p>
    <w:p w:rsidR="006B2C7C" w:rsidRPr="009D01BA" w:rsidRDefault="418D7890" w:rsidP="009D01BA">
      <w:pPr>
        <w:pStyle w:val="a4"/>
        <w:numPr>
          <w:ilvl w:val="0"/>
          <w:numId w:val="1"/>
        </w:numPr>
        <w:spacing w:after="0" w:line="360" w:lineRule="auto"/>
        <w:ind w:left="504" w:hanging="14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9D01BA">
        <w:rPr>
          <w:rFonts w:eastAsia="Calibri" w:cstheme="minorHAnsi"/>
          <w:iCs/>
          <w:color w:val="000000" w:themeColor="text1"/>
          <w:sz w:val="24"/>
          <w:szCs w:val="24"/>
        </w:rPr>
        <w:t xml:space="preserve">«τόσο μεγάλο, ώστε να μπορεί να καλύψει τις ανάγκες του αυτοκρατορικού τραπεζιού και εκείνες που απασχολούσαν το φιλάνθρωπο και κοινωνικά ευαίσθητο αυτοκράτορα (εννοώ τα </w:t>
      </w:r>
      <w:proofErr w:type="spellStart"/>
      <w:r w:rsidRPr="009D01BA">
        <w:rPr>
          <w:rFonts w:eastAsia="Calibri" w:cstheme="minorHAnsi"/>
          <w:iCs/>
          <w:color w:val="000000" w:themeColor="text1"/>
          <w:sz w:val="24"/>
          <w:szCs w:val="24"/>
        </w:rPr>
        <w:t>γηροτροφεία</w:t>
      </w:r>
      <w:proofErr w:type="spellEnd"/>
      <w:r w:rsidRPr="009D01BA">
        <w:rPr>
          <w:rFonts w:eastAsia="Calibri" w:cstheme="minorHAnsi"/>
          <w:iCs/>
          <w:color w:val="000000" w:themeColor="text1"/>
          <w:sz w:val="24"/>
          <w:szCs w:val="24"/>
        </w:rPr>
        <w:t>, πτωχοκομεία και νοσοκομεία που φρόντιζαν τους αρρώστους)»</w:t>
      </w:r>
    </w:p>
    <w:p w:rsidR="006B2C7C" w:rsidRPr="009D01BA" w:rsidRDefault="418D7890" w:rsidP="009D01BA">
      <w:pPr>
        <w:pStyle w:val="a4"/>
        <w:numPr>
          <w:ilvl w:val="0"/>
          <w:numId w:val="1"/>
        </w:numPr>
        <w:spacing w:after="0" w:line="360" w:lineRule="auto"/>
        <w:ind w:left="504" w:hanging="14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9D01BA">
        <w:rPr>
          <w:rFonts w:eastAsia="Calibri" w:cstheme="minorHAnsi"/>
          <w:iCs/>
          <w:color w:val="000000" w:themeColor="text1"/>
          <w:sz w:val="24"/>
          <w:szCs w:val="24"/>
        </w:rPr>
        <w:t>«τη φροντίδα τους ανέθεσε σε ανθρώπους που είχαν καλή γνώση της γεωργίας και της αμπελουργίας»</w:t>
      </w:r>
    </w:p>
    <w:p w:rsidR="006B2C7C" w:rsidRPr="009D01BA" w:rsidRDefault="418D7890" w:rsidP="009D01BA">
      <w:pPr>
        <w:pStyle w:val="a4"/>
        <w:numPr>
          <w:ilvl w:val="0"/>
          <w:numId w:val="1"/>
        </w:numPr>
        <w:spacing w:after="0" w:line="360" w:lineRule="auto"/>
        <w:ind w:left="504" w:hanging="14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9D01BA">
        <w:rPr>
          <w:rFonts w:eastAsia="Calibri" w:cstheme="minorHAnsi"/>
          <w:iCs/>
          <w:color w:val="000000" w:themeColor="text1"/>
          <w:sz w:val="24"/>
          <w:szCs w:val="24"/>
        </w:rPr>
        <w:t>«και έτσι κάθε χρόνο είχε μεγάλη και άφθονη σοδειά καρπών»</w:t>
      </w:r>
    </w:p>
    <w:p w:rsidR="006B2C7C" w:rsidRPr="009D01BA" w:rsidRDefault="418D7890" w:rsidP="009D01BA">
      <w:pPr>
        <w:pStyle w:val="a4"/>
        <w:numPr>
          <w:ilvl w:val="0"/>
          <w:numId w:val="1"/>
        </w:numPr>
        <w:spacing w:after="0" w:line="360" w:lineRule="auto"/>
        <w:ind w:left="504" w:hanging="14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9D01BA">
        <w:rPr>
          <w:rFonts w:eastAsia="Calibri" w:cstheme="minorHAnsi"/>
          <w:iCs/>
          <w:color w:val="000000" w:themeColor="text1"/>
          <w:sz w:val="24"/>
          <w:szCs w:val="24"/>
        </w:rPr>
        <w:t>«Το ίδιο συνιστούσε να κάνουν όχι μόνο οι συγγενείς του, αλλά και οι άλλοι ευγενείς».</w:t>
      </w:r>
    </w:p>
    <w:p w:rsidR="0063124E" w:rsidRPr="009D01BA" w:rsidRDefault="0063124E" w:rsidP="002B1541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1BA">
        <w:rPr>
          <w:rFonts w:ascii="Calibri" w:eastAsia="Calibri" w:hAnsi="Calibri" w:cs="Times New Roman"/>
          <w:sz w:val="24"/>
          <w:szCs w:val="24"/>
        </w:rPr>
        <w:t xml:space="preserve">Από την ιστορική αφήγηση του σχολικού βιβλίου </w:t>
      </w:r>
      <w:r w:rsidRPr="009D01BA">
        <w:rPr>
          <w:rFonts w:eastAsia="Times New Roman" w:cstheme="minorHAnsi"/>
          <w:sz w:val="24"/>
          <w:szCs w:val="24"/>
        </w:rPr>
        <w:t xml:space="preserve">[Κεφάλαιο 4, 2. Τα Ελληνικά κράτη: </w:t>
      </w:r>
      <w:proofErr w:type="spellStart"/>
      <w:r w:rsidRPr="009D01BA">
        <w:rPr>
          <w:rFonts w:eastAsia="Times New Roman" w:cstheme="minorHAnsi"/>
          <w:sz w:val="24"/>
          <w:szCs w:val="24"/>
        </w:rPr>
        <w:t>Τραπεζούς</w:t>
      </w:r>
      <w:proofErr w:type="spellEnd"/>
      <w:r w:rsidRPr="009D01BA">
        <w:rPr>
          <w:rFonts w:eastAsia="Times New Roman" w:cstheme="minorHAnsi"/>
          <w:sz w:val="24"/>
          <w:szCs w:val="24"/>
        </w:rPr>
        <w:t xml:space="preserve">, Ήπειρος, Νίκαια, γ. Η Αυτοκρατορία της Νίκαιας και η ανασύσταση της Βυζαντινής Αυτοκρατορίας] </w:t>
      </w:r>
      <w:r w:rsidRPr="009D01BA">
        <w:rPr>
          <w:rFonts w:ascii="Calibri" w:eastAsia="Calibri" w:hAnsi="Calibri" w:cs="Times New Roman"/>
          <w:sz w:val="24"/>
          <w:szCs w:val="24"/>
        </w:rPr>
        <w:t xml:space="preserve">  μπορούν να αξιοποιηθούν πληροφορίες από το απόσπασμα:</w:t>
      </w:r>
    </w:p>
    <w:p w:rsidR="0063124E" w:rsidRPr="009D01BA" w:rsidRDefault="0063124E" w:rsidP="002B1541">
      <w:pPr>
        <w:pStyle w:val="a4"/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iCs/>
          <w:sz w:val="24"/>
          <w:szCs w:val="24"/>
        </w:rPr>
      </w:pPr>
      <w:r w:rsidRPr="009D01BA">
        <w:rPr>
          <w:rFonts w:eastAsia="Calibri" w:cstheme="minorHAnsi"/>
          <w:iCs/>
          <w:sz w:val="24"/>
          <w:szCs w:val="24"/>
        </w:rPr>
        <w:t>«Στο πλαίσιο του οικονομικού προγράμματός του … από τις ιταλικές πόλεις»</w:t>
      </w:r>
    </w:p>
    <w:p w:rsidR="0063124E" w:rsidRDefault="0063124E" w:rsidP="004B60B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9D01BA">
        <w:rPr>
          <w:rFonts w:eastAsia="Times New Roman" w:cstheme="minorHAnsi"/>
          <w:sz w:val="24"/>
          <w:szCs w:val="24"/>
        </w:rPr>
        <w:t>Μέσα από τη συνδυαστική προσέγγιση πηγής και ιστορικής αφήγησης αναμένεται να δομηθεί ένα συνθετικό κείμενο που να</w:t>
      </w:r>
      <w:r w:rsidR="002B1541" w:rsidRPr="002B1541">
        <w:rPr>
          <w:rFonts w:eastAsia="Calibri" w:cstheme="minorHAnsi"/>
          <w:sz w:val="24"/>
          <w:szCs w:val="24"/>
        </w:rPr>
        <w:t xml:space="preserve"> </w:t>
      </w:r>
      <w:r w:rsidR="002B1541">
        <w:rPr>
          <w:rFonts w:eastAsia="Calibri" w:cstheme="minorHAnsi"/>
          <w:sz w:val="24"/>
          <w:szCs w:val="24"/>
        </w:rPr>
        <w:t xml:space="preserve">αναδεικνύει την </w:t>
      </w:r>
      <w:r w:rsidR="002B1541" w:rsidRPr="0063124E">
        <w:rPr>
          <w:rFonts w:eastAsia="Calibri" w:cstheme="minorHAnsi"/>
          <w:sz w:val="24"/>
          <w:szCs w:val="24"/>
        </w:rPr>
        <w:t xml:space="preserve">αυτάρκεια ως βασικό στόχο του οικονομικού προγράμματος του Ιωάννη </w:t>
      </w:r>
      <w:proofErr w:type="spellStart"/>
      <w:r w:rsidR="002B1541" w:rsidRPr="0063124E">
        <w:rPr>
          <w:rFonts w:eastAsia="Calibri" w:cstheme="minorHAnsi"/>
          <w:sz w:val="24"/>
          <w:szCs w:val="24"/>
        </w:rPr>
        <w:t>Βατάτζη</w:t>
      </w:r>
      <w:proofErr w:type="spellEnd"/>
      <w:r w:rsidR="004B60BF">
        <w:rPr>
          <w:rFonts w:eastAsia="Calibri" w:cstheme="minorHAnsi"/>
          <w:sz w:val="24"/>
          <w:szCs w:val="24"/>
        </w:rPr>
        <w:t>,</w:t>
      </w:r>
      <w:r w:rsidR="002B1541">
        <w:rPr>
          <w:rFonts w:eastAsia="Calibri" w:cstheme="minorHAnsi"/>
          <w:sz w:val="24"/>
          <w:szCs w:val="24"/>
        </w:rPr>
        <w:t xml:space="preserve"> εστιάζοντας στις ενέργειες του αυτοκράτορα για την υλοποίησή του οικονομικού του προγράμματος </w:t>
      </w:r>
      <w:r w:rsidR="004B60BF">
        <w:rPr>
          <w:rFonts w:eastAsia="Calibri" w:cstheme="minorHAnsi"/>
          <w:sz w:val="24"/>
          <w:szCs w:val="24"/>
        </w:rPr>
        <w:t xml:space="preserve">μέσα από το προσωπικό του παράδειγμα για δημιουργία </w:t>
      </w:r>
      <w:r w:rsidR="002B1541">
        <w:rPr>
          <w:rFonts w:eastAsia="Calibri" w:cstheme="minorHAnsi"/>
          <w:sz w:val="24"/>
          <w:szCs w:val="24"/>
        </w:rPr>
        <w:t>ενός πρότυπου αγροκτήματος.</w:t>
      </w:r>
      <w:r w:rsidRPr="009D01BA">
        <w:rPr>
          <w:rFonts w:eastAsia="Times New Roman" w:cstheme="minorHAnsi"/>
          <w:sz w:val="24"/>
          <w:szCs w:val="24"/>
        </w:rPr>
        <w:t xml:space="preserve"> </w:t>
      </w:r>
    </w:p>
    <w:p w:rsidR="002B1541" w:rsidRPr="009D01BA" w:rsidRDefault="002B1541" w:rsidP="002B1541">
      <w:pPr>
        <w:spacing w:after="0" w:line="360" w:lineRule="auto"/>
        <w:jc w:val="both"/>
        <w:rPr>
          <w:rFonts w:eastAsia="Calibri" w:cstheme="minorHAnsi"/>
          <w:iCs/>
          <w:sz w:val="24"/>
          <w:szCs w:val="24"/>
        </w:rPr>
      </w:pPr>
    </w:p>
    <w:p w:rsidR="004B60BF" w:rsidRDefault="00485E8F" w:rsidP="004B60BF">
      <w:pPr>
        <w:spacing w:after="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D01BA">
        <w:rPr>
          <w:rFonts w:cstheme="minorHAnsi"/>
          <w:b/>
          <w:bCs/>
          <w:sz w:val="24"/>
          <w:szCs w:val="24"/>
        </w:rPr>
        <w:t>3.β.</w:t>
      </w:r>
      <w:r w:rsidR="006B2C7C" w:rsidRPr="009D01BA">
        <w:rPr>
          <w:rFonts w:cstheme="minorHAnsi"/>
          <w:b/>
          <w:bCs/>
          <w:sz w:val="24"/>
          <w:szCs w:val="24"/>
        </w:rPr>
        <w:t xml:space="preserve"> </w:t>
      </w:r>
      <w:r w:rsidR="004B60BF">
        <w:rPr>
          <w:rFonts w:eastAsia="Calibri" w:cstheme="minorHAnsi"/>
          <w:color w:val="000000" w:themeColor="text1"/>
          <w:sz w:val="24"/>
          <w:szCs w:val="24"/>
        </w:rPr>
        <w:t>Για την απάντηση στο ερώτημα οι μαθητές/-τριες αναμένεται, μέσα από την κριτική ανάγνωση του παραθέματος (</w:t>
      </w:r>
      <w:r w:rsidR="004B60BF" w:rsidRPr="002B1541">
        <w:rPr>
          <w:rFonts w:eastAsia="Calibri" w:cstheme="minorHAnsi"/>
          <w:b/>
          <w:color w:val="000000" w:themeColor="text1"/>
          <w:sz w:val="24"/>
          <w:szCs w:val="24"/>
        </w:rPr>
        <w:t xml:space="preserve">ΚΕΙΜΕΝΟ </w:t>
      </w:r>
      <w:r w:rsidR="004717D1">
        <w:rPr>
          <w:rFonts w:eastAsia="Calibri" w:cstheme="minorHAnsi"/>
          <w:b/>
          <w:color w:val="000000" w:themeColor="text1"/>
          <w:sz w:val="24"/>
          <w:szCs w:val="24"/>
        </w:rPr>
        <w:t>Β</w:t>
      </w:r>
      <w:r w:rsidR="004B60BF">
        <w:rPr>
          <w:rFonts w:eastAsia="Calibri" w:cstheme="minorHAnsi"/>
          <w:color w:val="000000" w:themeColor="text1"/>
          <w:sz w:val="24"/>
          <w:szCs w:val="24"/>
        </w:rPr>
        <w:t>), να αξιοποιήσουν τις κατάλληλες πληροφορίες:</w:t>
      </w:r>
    </w:p>
    <w:p w:rsidR="004B60BF" w:rsidRDefault="00485E8F" w:rsidP="004B60BF">
      <w:pPr>
        <w:pStyle w:val="a4"/>
        <w:numPr>
          <w:ilvl w:val="0"/>
          <w:numId w:val="4"/>
        </w:numPr>
        <w:spacing w:after="0" w:line="360" w:lineRule="auto"/>
        <w:ind w:left="426" w:firstLine="0"/>
        <w:jc w:val="both"/>
        <w:rPr>
          <w:rFonts w:cstheme="minorHAnsi"/>
          <w:sz w:val="24"/>
          <w:szCs w:val="24"/>
        </w:rPr>
      </w:pPr>
      <w:r w:rsidRPr="004B60BF">
        <w:rPr>
          <w:rFonts w:cstheme="minorHAnsi"/>
          <w:sz w:val="24"/>
          <w:szCs w:val="24"/>
        </w:rPr>
        <w:t>«</w:t>
      </w:r>
      <w:r w:rsidRPr="004B60BF">
        <w:rPr>
          <w:rStyle w:val="a3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Το προστατευτικό αυτό μέτρο αποτελούσε αναντίρρητα αιχμή κατά της Βενετίας</w:t>
      </w:r>
      <w:r w:rsidRPr="004B60BF">
        <w:rPr>
          <w:rFonts w:cstheme="minorHAnsi"/>
          <w:sz w:val="24"/>
          <w:szCs w:val="24"/>
        </w:rPr>
        <w:t>»</w:t>
      </w:r>
    </w:p>
    <w:p w:rsidR="004B60BF" w:rsidRDefault="00485E8F" w:rsidP="004B60BF">
      <w:pPr>
        <w:pStyle w:val="a4"/>
        <w:numPr>
          <w:ilvl w:val="0"/>
          <w:numId w:val="4"/>
        </w:numPr>
        <w:spacing w:after="0" w:line="360" w:lineRule="auto"/>
        <w:ind w:left="426" w:firstLine="0"/>
        <w:jc w:val="both"/>
        <w:rPr>
          <w:rFonts w:cstheme="minorHAnsi"/>
          <w:sz w:val="24"/>
          <w:szCs w:val="24"/>
        </w:rPr>
      </w:pPr>
      <w:r w:rsidRPr="004B60BF">
        <w:rPr>
          <w:rStyle w:val="a3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Τα φορολογικά μέτρα εναντίον των βενετικών εισαγωγών θα προκαλούσαν σίγουρα σοβαρές επιπλοκές</w:t>
      </w:r>
      <w:r w:rsidRPr="004B60BF">
        <w:rPr>
          <w:rFonts w:cstheme="minorHAnsi"/>
          <w:sz w:val="24"/>
          <w:szCs w:val="24"/>
        </w:rPr>
        <w:t>»</w:t>
      </w:r>
      <w:r w:rsidR="004B60BF">
        <w:rPr>
          <w:rFonts w:cstheme="minorHAnsi"/>
          <w:sz w:val="24"/>
          <w:szCs w:val="24"/>
        </w:rPr>
        <w:t xml:space="preserve"> </w:t>
      </w:r>
    </w:p>
    <w:p w:rsidR="004B60BF" w:rsidRPr="004B60BF" w:rsidRDefault="00485E8F" w:rsidP="004B60BF">
      <w:pPr>
        <w:pStyle w:val="a4"/>
        <w:numPr>
          <w:ilvl w:val="0"/>
          <w:numId w:val="4"/>
        </w:numPr>
        <w:spacing w:after="0" w:line="360" w:lineRule="auto"/>
        <w:ind w:left="426" w:firstLine="0"/>
        <w:jc w:val="both"/>
        <w:rPr>
          <w:rStyle w:val="a3"/>
          <w:rFonts w:cstheme="minorHAnsi"/>
          <w:i w:val="0"/>
          <w:iCs w:val="0"/>
          <w:sz w:val="24"/>
          <w:szCs w:val="24"/>
        </w:rPr>
      </w:pPr>
      <w:r w:rsidRPr="004B60BF">
        <w:rPr>
          <w:rStyle w:val="a3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«γιατί θα παραβίαζαν τις εμπορικές συμφωνίες, οι οποίες έφεραν τις υπογραφές των προηγούμενων αυτοκρατόρων»</w:t>
      </w:r>
    </w:p>
    <w:p w:rsidR="00485E8F" w:rsidRPr="004B60BF" w:rsidRDefault="00485E8F" w:rsidP="004B60BF">
      <w:pPr>
        <w:pStyle w:val="a4"/>
        <w:numPr>
          <w:ilvl w:val="0"/>
          <w:numId w:val="4"/>
        </w:numPr>
        <w:spacing w:after="0" w:line="360" w:lineRule="auto"/>
        <w:ind w:left="426" w:firstLine="0"/>
        <w:jc w:val="both"/>
        <w:rPr>
          <w:rStyle w:val="a3"/>
          <w:rFonts w:cstheme="minorHAnsi"/>
          <w:i w:val="0"/>
          <w:iCs w:val="0"/>
          <w:sz w:val="24"/>
          <w:szCs w:val="24"/>
        </w:rPr>
      </w:pPr>
      <w:r w:rsidRPr="004B60BF">
        <w:rPr>
          <w:rStyle w:val="a3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lastRenderedPageBreak/>
        <w:t>«Αντίθετα, κανένας δεν θα μπορούσε να αμφισβητήσει το δικαίωμα του αυτοκράτορα να απαγορεύσει στους υπηκόους του την αγορά πολυτελών ειδών.»</w:t>
      </w:r>
    </w:p>
    <w:p w:rsidR="004B60BF" w:rsidRDefault="0063124E" w:rsidP="0748DFF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01BA">
        <w:rPr>
          <w:rFonts w:cstheme="minorHAnsi"/>
          <w:sz w:val="24"/>
          <w:szCs w:val="24"/>
        </w:rPr>
        <w:t>Η απάντηση στο</w:t>
      </w:r>
      <w:r w:rsidR="00485E8F" w:rsidRPr="009D01BA">
        <w:rPr>
          <w:rFonts w:cstheme="minorHAnsi"/>
          <w:sz w:val="24"/>
          <w:szCs w:val="24"/>
        </w:rPr>
        <w:t xml:space="preserve"> ερώτημα </w:t>
      </w:r>
      <w:r w:rsidR="009D01BA">
        <w:rPr>
          <w:rFonts w:cstheme="minorHAnsi"/>
          <w:sz w:val="24"/>
          <w:szCs w:val="24"/>
        </w:rPr>
        <w:t xml:space="preserve">3.β </w:t>
      </w:r>
      <w:r w:rsidR="00485E8F" w:rsidRPr="009D01BA">
        <w:rPr>
          <w:rFonts w:cstheme="minorHAnsi"/>
          <w:sz w:val="24"/>
          <w:szCs w:val="24"/>
        </w:rPr>
        <w:t>αποτελεί συνέχεια της απάντ</w:t>
      </w:r>
      <w:r w:rsidRPr="009D01BA">
        <w:rPr>
          <w:rFonts w:cstheme="minorHAnsi"/>
          <w:sz w:val="24"/>
          <w:szCs w:val="24"/>
        </w:rPr>
        <w:t>ησης του ερωτήματος 3.α</w:t>
      </w:r>
      <w:r w:rsidR="00032AFE" w:rsidRPr="009D01BA">
        <w:rPr>
          <w:rFonts w:cstheme="minorHAnsi"/>
          <w:sz w:val="24"/>
          <w:szCs w:val="24"/>
        </w:rPr>
        <w:t xml:space="preserve">. Με την </w:t>
      </w:r>
      <w:r w:rsidRPr="009D01BA">
        <w:rPr>
          <w:rFonts w:cstheme="minorHAnsi"/>
          <w:sz w:val="24"/>
          <w:szCs w:val="24"/>
        </w:rPr>
        <w:t>απάντησή τους</w:t>
      </w:r>
      <w:r w:rsidR="00032AFE" w:rsidRPr="009D01BA">
        <w:rPr>
          <w:rFonts w:cstheme="minorHAnsi"/>
          <w:sz w:val="24"/>
          <w:szCs w:val="24"/>
        </w:rPr>
        <w:t xml:space="preserve"> οι μ</w:t>
      </w:r>
      <w:r w:rsidRPr="009D01BA">
        <w:rPr>
          <w:rFonts w:cstheme="minorHAnsi"/>
          <w:sz w:val="24"/>
          <w:szCs w:val="24"/>
        </w:rPr>
        <w:t>αθητές/</w:t>
      </w:r>
      <w:r w:rsidR="009D01BA">
        <w:rPr>
          <w:rFonts w:cstheme="minorHAnsi"/>
          <w:sz w:val="24"/>
          <w:szCs w:val="24"/>
        </w:rPr>
        <w:t>-</w:t>
      </w:r>
      <w:r w:rsidRPr="009D01BA">
        <w:rPr>
          <w:rFonts w:cstheme="minorHAnsi"/>
          <w:sz w:val="24"/>
          <w:szCs w:val="24"/>
        </w:rPr>
        <w:t>τριες αναμένεται να</w:t>
      </w:r>
      <w:r w:rsidR="00032AFE" w:rsidRPr="009D01BA">
        <w:rPr>
          <w:rFonts w:cstheme="minorHAnsi"/>
          <w:sz w:val="24"/>
          <w:szCs w:val="24"/>
        </w:rPr>
        <w:t xml:space="preserve"> αναδείξουν τη σημασία της απαγόρευσης εισαγωγής ειδών πολυτελείας για την υλοποίηση της αυτάρκειας, του βασικού στόχου του οικονομικού προγράμματος του Ιωάννη </w:t>
      </w:r>
      <w:proofErr w:type="spellStart"/>
      <w:r w:rsidR="00032AFE" w:rsidRPr="009D01BA">
        <w:rPr>
          <w:rFonts w:cstheme="minorHAnsi"/>
          <w:sz w:val="24"/>
          <w:szCs w:val="24"/>
        </w:rPr>
        <w:t>Βατάτζη</w:t>
      </w:r>
      <w:proofErr w:type="spellEnd"/>
      <w:r w:rsidR="00032AFE" w:rsidRPr="009D01BA">
        <w:rPr>
          <w:rFonts w:cstheme="minorHAnsi"/>
          <w:sz w:val="24"/>
          <w:szCs w:val="24"/>
        </w:rPr>
        <w:t xml:space="preserve">, αλλά και τη σχέση του μέτρου αυτού με την εξωτερική πολιτική του αυτοκράτορα, ιδιαίτερα απέναντι στη Βενετία. </w:t>
      </w:r>
      <w:bookmarkStart w:id="0" w:name="_GoBack"/>
      <w:bookmarkEnd w:id="0"/>
    </w:p>
    <w:p w:rsidR="004B60BF" w:rsidRPr="004B60BF" w:rsidRDefault="004B60BF" w:rsidP="004B60BF">
      <w:pPr>
        <w:rPr>
          <w:rFonts w:cstheme="minorHAnsi"/>
          <w:sz w:val="24"/>
          <w:szCs w:val="24"/>
        </w:rPr>
      </w:pPr>
    </w:p>
    <w:p w:rsidR="004B60BF" w:rsidRPr="004B60BF" w:rsidRDefault="004B60BF" w:rsidP="004B60BF">
      <w:pPr>
        <w:rPr>
          <w:rFonts w:cstheme="minorHAnsi"/>
          <w:sz w:val="24"/>
          <w:szCs w:val="24"/>
        </w:rPr>
      </w:pPr>
    </w:p>
    <w:p w:rsidR="004B60BF" w:rsidRPr="004B60BF" w:rsidRDefault="004B60BF" w:rsidP="004B60BF">
      <w:pPr>
        <w:rPr>
          <w:rFonts w:cstheme="minorHAnsi"/>
          <w:sz w:val="24"/>
          <w:szCs w:val="24"/>
        </w:rPr>
      </w:pPr>
    </w:p>
    <w:sectPr w:rsidR="004B60BF" w:rsidRPr="004B60BF" w:rsidSect="000C48C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DDF"/>
    <w:multiLevelType w:val="hybridMultilevel"/>
    <w:tmpl w:val="0302B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5B948"/>
    <w:multiLevelType w:val="hybridMultilevel"/>
    <w:tmpl w:val="840EB626"/>
    <w:lvl w:ilvl="0" w:tplc="505C39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EEF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A0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EA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86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E4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0B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E1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25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0B77"/>
    <w:multiLevelType w:val="hybridMultilevel"/>
    <w:tmpl w:val="F7BED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627EE"/>
    <w:multiLevelType w:val="hybridMultilevel"/>
    <w:tmpl w:val="7CE871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99B178"/>
    <w:multiLevelType w:val="hybridMultilevel"/>
    <w:tmpl w:val="8B50DCA6"/>
    <w:lvl w:ilvl="0" w:tplc="598E11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622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8E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25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A7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ED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2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E3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8B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8CA"/>
    <w:rsid w:val="00032AFE"/>
    <w:rsid w:val="00057B8A"/>
    <w:rsid w:val="000B34E4"/>
    <w:rsid w:val="000B69B3"/>
    <w:rsid w:val="000C48CA"/>
    <w:rsid w:val="00221FED"/>
    <w:rsid w:val="002B1541"/>
    <w:rsid w:val="0045205B"/>
    <w:rsid w:val="00461CCC"/>
    <w:rsid w:val="004717D1"/>
    <w:rsid w:val="00485E8F"/>
    <w:rsid w:val="004B60BF"/>
    <w:rsid w:val="004C6DED"/>
    <w:rsid w:val="005A7891"/>
    <w:rsid w:val="0063124E"/>
    <w:rsid w:val="006B2C7C"/>
    <w:rsid w:val="00727BF2"/>
    <w:rsid w:val="00856BDD"/>
    <w:rsid w:val="00950C08"/>
    <w:rsid w:val="009B26ED"/>
    <w:rsid w:val="009D01BA"/>
    <w:rsid w:val="00B9B87A"/>
    <w:rsid w:val="00D65B03"/>
    <w:rsid w:val="00E6230A"/>
    <w:rsid w:val="00F33B53"/>
    <w:rsid w:val="0748DFF6"/>
    <w:rsid w:val="1B88A10D"/>
    <w:rsid w:val="1D24716E"/>
    <w:rsid w:val="21A77247"/>
    <w:rsid w:val="3E8ADE42"/>
    <w:rsid w:val="418D7890"/>
    <w:rsid w:val="4DF8F49E"/>
    <w:rsid w:val="51309560"/>
    <w:rsid w:val="64B37753"/>
    <w:rsid w:val="74218DAF"/>
    <w:rsid w:val="7F49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italictimes">
    <w:name w:val="bolditalictimes"/>
    <w:basedOn w:val="a"/>
    <w:rsid w:val="000C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C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0C48CA"/>
    <w:rPr>
      <w:i/>
      <w:iCs/>
    </w:rPr>
  </w:style>
  <w:style w:type="paragraph" w:styleId="a4">
    <w:name w:val="List Paragraph"/>
    <w:basedOn w:val="a"/>
    <w:uiPriority w:val="34"/>
    <w:qFormat/>
    <w:rsid w:val="006B2C7C"/>
    <w:pPr>
      <w:ind w:left="720"/>
      <w:contextualSpacing/>
    </w:pPr>
  </w:style>
  <w:style w:type="paragraph" w:customStyle="1" w:styleId="paragraph">
    <w:name w:val="paragraph"/>
    <w:basedOn w:val="a"/>
    <w:rsid w:val="005A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italictimes">
    <w:name w:val="bolditalictimes"/>
    <w:basedOn w:val="a"/>
    <w:rsid w:val="000C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C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0C48CA"/>
    <w:rPr>
      <w:i/>
      <w:iCs/>
    </w:rPr>
  </w:style>
  <w:style w:type="paragraph" w:styleId="a4">
    <w:name w:val="List Paragraph"/>
    <w:basedOn w:val="a"/>
    <w:uiPriority w:val="34"/>
    <w:qFormat/>
    <w:rsid w:val="006B2C7C"/>
    <w:pPr>
      <w:ind w:left="720"/>
      <w:contextualSpacing/>
    </w:pPr>
  </w:style>
  <w:style w:type="paragraph" w:customStyle="1" w:styleId="paragraph">
    <w:name w:val="paragraph"/>
    <w:basedOn w:val="a"/>
    <w:rsid w:val="005A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7F3F1-463C-4B2A-9928-269AB16F1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00897-2DAA-4B71-A76A-DADF58651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E0AAD-BF3D-46BC-8CAD-77A8FA292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 Αναγνώστου</cp:lastModifiedBy>
  <cp:revision>10</cp:revision>
  <dcterms:created xsi:type="dcterms:W3CDTF">2022-10-28T10:12:00Z</dcterms:created>
  <dcterms:modified xsi:type="dcterms:W3CDTF">2023-02-21T10:26:00Z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